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238" w:rsidRPr="004573F4" w:rsidRDefault="004573F4" w:rsidP="004573F4">
      <w:pPr>
        <w:jc w:val="center"/>
        <w:rPr>
          <w:rFonts w:ascii="黑体" w:eastAsia="黑体"/>
          <w:b/>
          <w:bCs/>
          <w:sz w:val="32"/>
        </w:rPr>
      </w:pPr>
      <w:r w:rsidRPr="004573F4">
        <w:rPr>
          <w:rFonts w:ascii="黑体" w:eastAsia="黑体" w:hint="eastAsia"/>
          <w:b/>
          <w:bCs/>
          <w:sz w:val="32"/>
        </w:rPr>
        <w:t>世界经济学   复习资料</w:t>
      </w:r>
      <w:r>
        <w:rPr>
          <w:rFonts w:ascii="黑体" w:eastAsia="黑体" w:hint="eastAsia"/>
          <w:b/>
          <w:bCs/>
          <w:sz w:val="32"/>
        </w:rPr>
        <w:t>1</w:t>
      </w:r>
    </w:p>
    <w:p w:rsidR="004573F4" w:rsidRDefault="004573F4" w:rsidP="004573F4">
      <w:pPr>
        <w:pStyle w:val="a3"/>
        <w:numPr>
          <w:ilvl w:val="0"/>
          <w:numId w:val="1"/>
        </w:numPr>
        <w:adjustRightInd w:val="0"/>
        <w:snapToGrid w:val="0"/>
        <w:spacing w:before="0" w:beforeAutospacing="0" w:after="0" w:afterAutospacing="0" w:line="460" w:lineRule="exact"/>
        <w:rPr>
          <w:rFonts w:ascii="黑体" w:eastAsia="黑体" w:hAnsi="黑体"/>
          <w:sz w:val="21"/>
          <w:szCs w:val="21"/>
        </w:rPr>
      </w:pPr>
      <w:r>
        <w:rPr>
          <w:rFonts w:ascii="黑体" w:eastAsia="黑体" w:hAnsi="黑体" w:hint="eastAsia"/>
        </w:rPr>
        <w:t>名词解释</w:t>
      </w:r>
    </w:p>
    <w:p w:rsidR="004573F4" w:rsidRDefault="004573F4" w:rsidP="004573F4">
      <w:pPr>
        <w:pStyle w:val="a3"/>
        <w:numPr>
          <w:ilvl w:val="0"/>
          <w:numId w:val="2"/>
        </w:numPr>
        <w:adjustRightInd w:val="0"/>
        <w:snapToGrid w:val="0"/>
        <w:spacing w:before="0" w:beforeAutospacing="0" w:after="0" w:afterAutospacing="0" w:line="460" w:lineRule="exact"/>
        <w:rPr>
          <w:rFonts w:ascii="黑体" w:eastAsia="黑体" w:hAnsi="黑体"/>
          <w:sz w:val="21"/>
          <w:szCs w:val="21"/>
        </w:rPr>
      </w:pPr>
      <w:r>
        <w:rPr>
          <w:rFonts w:ascii="黑体" w:eastAsia="黑体" w:hAnsi="黑体" w:hint="eastAsia"/>
          <w:sz w:val="21"/>
          <w:szCs w:val="21"/>
        </w:rPr>
        <w:t>茂物宣言  2.债务率   3.邀请招标 </w:t>
      </w:r>
      <w:r w:rsidR="00571A93">
        <w:rPr>
          <w:rFonts w:ascii="黑体" w:eastAsia="黑体" w:hAnsi="黑体" w:hint="eastAsia"/>
          <w:sz w:val="21"/>
          <w:szCs w:val="21"/>
        </w:rPr>
        <w:t xml:space="preserve"> </w:t>
      </w:r>
      <w:r>
        <w:rPr>
          <w:rFonts w:ascii="黑体" w:eastAsia="黑体" w:hAnsi="黑体" w:hint="eastAsia"/>
          <w:sz w:val="21"/>
          <w:szCs w:val="21"/>
        </w:rPr>
        <w:t> </w:t>
      </w:r>
    </w:p>
    <w:p w:rsidR="004573F4" w:rsidRDefault="004573F4" w:rsidP="004573F4">
      <w:pPr>
        <w:pStyle w:val="a3"/>
        <w:adjustRightInd w:val="0"/>
        <w:snapToGrid w:val="0"/>
        <w:spacing w:before="0" w:beforeAutospacing="0" w:after="0" w:afterAutospacing="0" w:line="460" w:lineRule="exact"/>
        <w:rPr>
          <w:rFonts w:ascii="黑体" w:eastAsia="黑体" w:hAnsi="黑体"/>
          <w:sz w:val="21"/>
          <w:szCs w:val="21"/>
        </w:rPr>
      </w:pPr>
      <w:r>
        <w:rPr>
          <w:rFonts w:ascii="黑体" w:eastAsia="黑体" w:hAnsi="黑体" w:hint="eastAsia"/>
          <w:sz w:val="21"/>
          <w:szCs w:val="21"/>
        </w:rPr>
        <w:t>二、</w:t>
      </w:r>
      <w:r>
        <w:rPr>
          <w:rFonts w:ascii="黑体" w:eastAsia="黑体" w:hAnsi="黑体" w:hint="eastAsia"/>
        </w:rPr>
        <w:t>判断题</w:t>
      </w:r>
    </w:p>
    <w:p w:rsidR="004573F4" w:rsidRDefault="004573F4" w:rsidP="004573F4">
      <w:pPr>
        <w:pStyle w:val="a3"/>
        <w:adjustRightInd w:val="0"/>
        <w:snapToGrid w:val="0"/>
        <w:spacing w:before="0" w:beforeAutospacing="0" w:after="0" w:afterAutospacing="0" w:line="460" w:lineRule="exact"/>
        <w:rPr>
          <w:rFonts w:ascii="黑体" w:eastAsia="黑体" w:hAnsi="黑体" w:cs="黑体"/>
          <w:sz w:val="21"/>
          <w:szCs w:val="21"/>
        </w:rPr>
      </w:pPr>
      <w:r>
        <w:rPr>
          <w:rFonts w:ascii="黑体" w:eastAsia="黑体" w:hAnsi="黑体" w:cs="黑体" w:hint="eastAsia"/>
        </w:rPr>
        <w:t>1.</w:t>
      </w:r>
      <w:r>
        <w:rPr>
          <w:rFonts w:ascii="黑体" w:eastAsia="黑体" w:hAnsi="黑体" w:cs="黑体" w:hint="eastAsia"/>
          <w:sz w:val="21"/>
          <w:szCs w:val="21"/>
        </w:rPr>
        <w:t>在19世纪末20世纪，日本在世界经济中的地位不断上升，在群雄中崛起并独占鳌头，全面代替了英国当年的地位，成为新的世界经济中心。 （  ）</w:t>
      </w:r>
    </w:p>
    <w:p w:rsidR="004573F4" w:rsidRDefault="004573F4" w:rsidP="004573F4">
      <w:pPr>
        <w:pStyle w:val="a3"/>
        <w:adjustRightInd w:val="0"/>
        <w:snapToGrid w:val="0"/>
        <w:spacing w:before="0" w:beforeAutospacing="0" w:after="0" w:afterAutospacing="0" w:line="460" w:lineRule="exact"/>
        <w:rPr>
          <w:rFonts w:ascii="黑体" w:eastAsia="黑体" w:hAnsi="黑体" w:cs="黑体"/>
          <w:sz w:val="21"/>
          <w:szCs w:val="21"/>
        </w:rPr>
      </w:pPr>
      <w:r>
        <w:rPr>
          <w:rFonts w:ascii="黑体" w:eastAsia="黑体" w:hAnsi="黑体" w:cs="黑体" w:hint="eastAsia"/>
          <w:sz w:val="21"/>
          <w:szCs w:val="21"/>
        </w:rPr>
        <w:t>2．经济全球化促进了美国的一统天下。 （  ）</w:t>
      </w:r>
    </w:p>
    <w:p w:rsidR="004573F4" w:rsidRDefault="004573F4" w:rsidP="004573F4">
      <w:pPr>
        <w:pStyle w:val="a3"/>
        <w:adjustRightInd w:val="0"/>
        <w:snapToGrid w:val="0"/>
        <w:spacing w:before="0" w:beforeAutospacing="0" w:after="0" w:afterAutospacing="0" w:line="460" w:lineRule="exact"/>
        <w:rPr>
          <w:rFonts w:ascii="黑体" w:eastAsia="黑体" w:hAnsi="黑体" w:cs="黑体"/>
          <w:sz w:val="21"/>
          <w:szCs w:val="21"/>
        </w:rPr>
      </w:pPr>
      <w:r>
        <w:rPr>
          <w:rFonts w:ascii="黑体" w:eastAsia="黑体" w:hAnsi="黑体" w:cs="黑体" w:hint="eastAsia"/>
          <w:sz w:val="21"/>
          <w:szCs w:val="21"/>
        </w:rPr>
        <w:t>3.北美自由贸易区兼顾了产业间分工和产业内分工的优点，这两种分工分别为发达国家和发展中国家提供了贸易发展的条件。（  ）</w:t>
      </w:r>
    </w:p>
    <w:p w:rsidR="004573F4" w:rsidRDefault="004573F4" w:rsidP="004573F4">
      <w:pPr>
        <w:pStyle w:val="a3"/>
        <w:adjustRightInd w:val="0"/>
        <w:snapToGrid w:val="0"/>
        <w:spacing w:before="0" w:beforeAutospacing="0" w:after="0" w:afterAutospacing="0" w:line="460" w:lineRule="exact"/>
        <w:rPr>
          <w:rFonts w:ascii="黑体" w:eastAsia="黑体" w:hAnsi="黑体" w:cs="黑体"/>
          <w:sz w:val="21"/>
          <w:szCs w:val="21"/>
        </w:rPr>
      </w:pPr>
      <w:r>
        <w:rPr>
          <w:rFonts w:ascii="黑体" w:eastAsia="黑体" w:hAnsi="黑体" w:cs="黑体" w:hint="eastAsia"/>
          <w:sz w:val="21"/>
          <w:szCs w:val="21"/>
        </w:rPr>
        <w:t>4.管理成为现代生产力中重要的强化性要素。 （  ）</w:t>
      </w:r>
    </w:p>
    <w:p w:rsidR="004573F4" w:rsidRDefault="004573F4" w:rsidP="004573F4">
      <w:pPr>
        <w:pStyle w:val="a3"/>
        <w:adjustRightInd w:val="0"/>
        <w:snapToGrid w:val="0"/>
        <w:spacing w:before="0" w:beforeAutospacing="0" w:after="0" w:afterAutospacing="0" w:line="460" w:lineRule="exact"/>
        <w:rPr>
          <w:rFonts w:ascii="黑体" w:eastAsia="黑体" w:hAnsi="黑体" w:cs="黑体"/>
          <w:sz w:val="21"/>
          <w:szCs w:val="21"/>
        </w:rPr>
      </w:pPr>
      <w:r>
        <w:rPr>
          <w:rFonts w:ascii="黑体" w:eastAsia="黑体" w:hAnsi="黑体" w:cs="黑体" w:hint="eastAsia"/>
          <w:sz w:val="21"/>
          <w:szCs w:val="21"/>
        </w:rPr>
        <w:t>5．需要指出的是，一国实行自由贸易政策，就意味着完全的自由。（  ） </w:t>
      </w:r>
    </w:p>
    <w:p w:rsidR="004573F4" w:rsidRDefault="004573F4" w:rsidP="004573F4">
      <w:pPr>
        <w:pStyle w:val="a3"/>
        <w:adjustRightInd w:val="0"/>
        <w:snapToGrid w:val="0"/>
        <w:spacing w:before="0" w:beforeAutospacing="0" w:after="0" w:afterAutospacing="0" w:line="460" w:lineRule="exact"/>
        <w:rPr>
          <w:rFonts w:ascii="黑体" w:eastAsia="黑体" w:hAnsi="黑体"/>
          <w:sz w:val="21"/>
          <w:szCs w:val="21"/>
        </w:rPr>
      </w:pPr>
      <w:r>
        <w:rPr>
          <w:rFonts w:ascii="黑体" w:eastAsia="黑体" w:hAnsi="黑体" w:hint="eastAsia"/>
        </w:rPr>
        <w:t>三、简答题</w:t>
      </w:r>
    </w:p>
    <w:p w:rsidR="004573F4" w:rsidRDefault="004573F4" w:rsidP="004573F4">
      <w:pPr>
        <w:pStyle w:val="a3"/>
        <w:numPr>
          <w:ilvl w:val="0"/>
          <w:numId w:val="3"/>
        </w:numPr>
        <w:adjustRightInd w:val="0"/>
        <w:snapToGrid w:val="0"/>
        <w:spacing w:before="0" w:beforeAutospacing="0" w:after="0" w:afterAutospacing="0" w:line="460" w:lineRule="exact"/>
        <w:rPr>
          <w:rFonts w:ascii="黑体" w:eastAsia="黑体" w:hAnsi="黑体"/>
          <w:sz w:val="21"/>
          <w:szCs w:val="21"/>
        </w:rPr>
      </w:pPr>
      <w:r>
        <w:rPr>
          <w:rFonts w:ascii="黑体" w:eastAsia="黑体" w:hAnsi="黑体" w:hint="eastAsia"/>
          <w:sz w:val="21"/>
          <w:szCs w:val="21"/>
        </w:rPr>
        <w:t>世界贸易组织的宗旨是什么？  </w:t>
      </w:r>
    </w:p>
    <w:p w:rsidR="004573F4" w:rsidRDefault="004573F4" w:rsidP="004573F4">
      <w:pPr>
        <w:pStyle w:val="a3"/>
        <w:numPr>
          <w:ilvl w:val="0"/>
          <w:numId w:val="3"/>
        </w:numPr>
        <w:adjustRightInd w:val="0"/>
        <w:snapToGrid w:val="0"/>
        <w:spacing w:before="0" w:beforeAutospacing="0" w:after="0" w:afterAutospacing="0" w:line="460" w:lineRule="exact"/>
        <w:rPr>
          <w:rFonts w:ascii="黑体" w:eastAsia="黑体" w:hAnsi="黑体"/>
          <w:sz w:val="21"/>
          <w:szCs w:val="21"/>
        </w:rPr>
      </w:pPr>
      <w:r>
        <w:rPr>
          <w:rFonts w:ascii="黑体" w:eastAsia="黑体" w:hAnsi="黑体" w:hint="eastAsia"/>
          <w:sz w:val="21"/>
          <w:szCs w:val="21"/>
        </w:rPr>
        <w:t>何谓“特里芬两难”？ </w:t>
      </w:r>
    </w:p>
    <w:p w:rsidR="004573F4" w:rsidRDefault="004573F4" w:rsidP="004573F4">
      <w:pPr>
        <w:pStyle w:val="a3"/>
        <w:adjustRightInd w:val="0"/>
        <w:snapToGrid w:val="0"/>
        <w:spacing w:before="0" w:beforeAutospacing="0" w:after="0" w:afterAutospacing="0" w:line="460" w:lineRule="exact"/>
        <w:rPr>
          <w:rFonts w:ascii="黑体" w:eastAsia="黑体" w:hAnsi="黑体"/>
          <w:sz w:val="21"/>
          <w:szCs w:val="21"/>
        </w:rPr>
      </w:pPr>
      <w:r>
        <w:rPr>
          <w:rFonts w:ascii="黑体" w:eastAsia="黑体" w:hAnsi="黑体" w:hint="eastAsia"/>
        </w:rPr>
        <w:t>四、论述题</w:t>
      </w:r>
    </w:p>
    <w:p w:rsidR="004573F4" w:rsidRDefault="004573F4" w:rsidP="004573F4">
      <w:pPr>
        <w:pStyle w:val="a3"/>
        <w:adjustRightInd w:val="0"/>
        <w:snapToGrid w:val="0"/>
        <w:spacing w:before="0" w:beforeAutospacing="0" w:after="0" w:afterAutospacing="0" w:line="460" w:lineRule="exact"/>
        <w:rPr>
          <w:rFonts w:ascii="黑体" w:eastAsia="黑体" w:hAnsi="黑体"/>
          <w:sz w:val="21"/>
          <w:szCs w:val="21"/>
        </w:rPr>
      </w:pPr>
      <w:r>
        <w:rPr>
          <w:rFonts w:ascii="黑体" w:eastAsia="黑体" w:hAnsi="黑体" w:hint="eastAsia"/>
          <w:sz w:val="21"/>
          <w:szCs w:val="21"/>
        </w:rPr>
        <w:t>分别论述发达资本主义国家（美国、德国和日本）市场经济的模式，并比较它们之间存在的差异</w:t>
      </w:r>
    </w:p>
    <w:p w:rsidR="004573F4" w:rsidRDefault="00B8384D" w:rsidP="004573F4">
      <w:pPr>
        <w:pStyle w:val="a3"/>
        <w:adjustRightInd w:val="0"/>
        <w:snapToGrid w:val="0"/>
        <w:spacing w:before="0" w:beforeAutospacing="0" w:after="0" w:afterAutospacing="0" w:line="460" w:lineRule="exact"/>
        <w:rPr>
          <w:rFonts w:ascii="黑体" w:eastAsia="黑体" w:hAnsi="黑体"/>
          <w:sz w:val="21"/>
          <w:szCs w:val="21"/>
        </w:rPr>
      </w:pPr>
      <w:r>
        <w:rPr>
          <w:rFonts w:ascii="黑体" w:eastAsia="黑体" w:hAnsi="黑体" w:hint="eastAsia"/>
        </w:rPr>
        <w:t>五、案例分析</w:t>
      </w:r>
    </w:p>
    <w:p w:rsidR="004573F4" w:rsidRDefault="004573F4" w:rsidP="004573F4">
      <w:pPr>
        <w:pStyle w:val="a3"/>
        <w:adjustRightInd w:val="0"/>
        <w:snapToGrid w:val="0"/>
        <w:spacing w:before="0" w:beforeAutospacing="0" w:after="0" w:afterAutospacing="0" w:line="460" w:lineRule="exact"/>
        <w:rPr>
          <w:rFonts w:ascii="黑体" w:eastAsia="黑体" w:hAnsi="黑体"/>
          <w:sz w:val="21"/>
          <w:szCs w:val="21"/>
        </w:rPr>
      </w:pPr>
      <w:r>
        <w:rPr>
          <w:rFonts w:ascii="黑体" w:eastAsia="黑体" w:hAnsi="黑体" w:hint="eastAsia"/>
          <w:sz w:val="21"/>
          <w:szCs w:val="21"/>
        </w:rPr>
        <w:t>福特汽车公司的汽车底盘和车身在法国生产，发动机在英国生产，轮胎和汽车用玻璃在荷兰生产，车锁、方向盘、油箱及前轮在德国生产，输油管在挪威生产，传动皮带在丹麦生产，散热器和供暖系统在奥地利生产，车轴和挡风玻璃在日本生产，迈速表在瑞士生产，一般汽车用玻璃和汽缸在意大利生产，空气滤清器、电池和后视镜在西班牙生产，汽车音响系统在加拿大生产，美国自己只生产后轮和雨刷，最后在英国的哈利伍德组装。这种高度的企业内分工和国际分工紧密结合起来，使国际分工成为企业内分工的附属，企业生产本身实现国际化。 </w:t>
      </w:r>
    </w:p>
    <w:p w:rsidR="004573F4" w:rsidRDefault="004573F4" w:rsidP="004573F4">
      <w:pPr>
        <w:pStyle w:val="a3"/>
        <w:adjustRightInd w:val="0"/>
        <w:snapToGrid w:val="0"/>
        <w:spacing w:before="0" w:beforeAutospacing="0" w:after="0" w:afterAutospacing="0" w:line="460" w:lineRule="exact"/>
        <w:rPr>
          <w:rFonts w:ascii="黑体" w:eastAsia="黑体" w:hAnsi="黑体"/>
          <w:sz w:val="21"/>
          <w:szCs w:val="21"/>
        </w:rPr>
      </w:pPr>
      <w:r>
        <w:rPr>
          <w:rFonts w:ascii="黑体" w:eastAsia="黑体" w:hAnsi="黑体" w:hint="eastAsia"/>
          <w:sz w:val="21"/>
          <w:szCs w:val="21"/>
        </w:rPr>
        <w:t>跨国公司的全球经营打破了生产体系的国家界限，把各个部分重构在一个全球生产体系之中。在跨国公司迅猛发展的今日，产品的民族品牌正在为公司品牌所取代，纯粹的“国货”已所剩无几，产品凝聚着众多产地的技术成分，以至于人们无法辨认每个国家的具体贡献，也无法区分商品劳动者的国籍。</w:t>
      </w:r>
    </w:p>
    <w:p w:rsidR="004573F4" w:rsidRDefault="004573F4" w:rsidP="004573F4">
      <w:pPr>
        <w:pStyle w:val="a3"/>
        <w:adjustRightInd w:val="0"/>
        <w:snapToGrid w:val="0"/>
        <w:spacing w:before="0" w:beforeAutospacing="0" w:after="0" w:afterAutospacing="0" w:line="460" w:lineRule="exact"/>
        <w:rPr>
          <w:rFonts w:ascii="黑体" w:eastAsia="黑体" w:hAnsi="黑体"/>
          <w:sz w:val="21"/>
          <w:szCs w:val="21"/>
        </w:rPr>
      </w:pPr>
      <w:r>
        <w:rPr>
          <w:rFonts w:ascii="黑体" w:eastAsia="黑体" w:hAnsi="黑体" w:hint="eastAsia"/>
          <w:sz w:val="21"/>
          <w:szCs w:val="21"/>
        </w:rPr>
        <w:lastRenderedPageBreak/>
        <w:t>在过去的几十年中，因跨国公司的巨大规模而引起的争议可谓毁誉参半。20世纪70年代时，跨国公司被认为是想要控制世界的垄断“魔鬼”；在80和90年代，跨国公司演变为创新、新资本、新思想、新技术和新的就业机会的代名词；21世纪初期，跨国公司又成了“混世魔王”：它破坏环境、剥削工人。对跨国公司是否剥削工人的问题应该客观地看待。尽管当地雇员的工资远远低于母公司所在国的工资水平，但在许多发展中国家，跨国公司每年确实创造了成千上万的就业机会。</w:t>
      </w:r>
    </w:p>
    <w:p w:rsidR="004573F4" w:rsidRDefault="004573F4" w:rsidP="004573F4">
      <w:pPr>
        <w:pStyle w:val="a3"/>
        <w:adjustRightInd w:val="0"/>
        <w:snapToGrid w:val="0"/>
        <w:spacing w:before="0" w:beforeAutospacing="0" w:after="0" w:afterAutospacing="0" w:line="460" w:lineRule="exact"/>
        <w:rPr>
          <w:rFonts w:ascii="黑体" w:eastAsia="黑体" w:hAnsi="黑体"/>
          <w:sz w:val="21"/>
          <w:szCs w:val="21"/>
        </w:rPr>
      </w:pPr>
      <w:r>
        <w:rPr>
          <w:rFonts w:ascii="黑体" w:eastAsia="黑体" w:hAnsi="黑体" w:hint="eastAsia"/>
          <w:sz w:val="21"/>
          <w:szCs w:val="21"/>
        </w:rPr>
        <w:t>请根据上述案例并结合经济学理论，回答以下问题： </w:t>
      </w:r>
    </w:p>
    <w:p w:rsidR="004573F4" w:rsidRDefault="004573F4" w:rsidP="004573F4">
      <w:pPr>
        <w:pStyle w:val="a3"/>
        <w:numPr>
          <w:ilvl w:val="0"/>
          <w:numId w:val="4"/>
        </w:numPr>
        <w:adjustRightInd w:val="0"/>
        <w:snapToGrid w:val="0"/>
        <w:spacing w:before="0" w:beforeAutospacing="0" w:after="0" w:afterAutospacing="0" w:line="460" w:lineRule="exact"/>
        <w:rPr>
          <w:rFonts w:ascii="黑体" w:eastAsia="黑体" w:hAnsi="黑体"/>
          <w:sz w:val="21"/>
          <w:szCs w:val="21"/>
        </w:rPr>
      </w:pPr>
      <w:r>
        <w:rPr>
          <w:rFonts w:ascii="黑体" w:eastAsia="黑体" w:hAnsi="黑体" w:hint="eastAsia"/>
          <w:sz w:val="21"/>
          <w:szCs w:val="21"/>
        </w:rPr>
        <w:t> 以福特汽车公司为例，分析说明企业内国际分工的特点。</w:t>
      </w:r>
    </w:p>
    <w:p w:rsidR="004573F4" w:rsidRDefault="004573F4" w:rsidP="004573F4">
      <w:pPr>
        <w:pStyle w:val="a3"/>
        <w:numPr>
          <w:ilvl w:val="0"/>
          <w:numId w:val="4"/>
        </w:numPr>
        <w:adjustRightInd w:val="0"/>
        <w:snapToGrid w:val="0"/>
        <w:spacing w:before="0" w:beforeAutospacing="0" w:after="0" w:afterAutospacing="0" w:line="460" w:lineRule="exact"/>
        <w:rPr>
          <w:rFonts w:ascii="黑体" w:eastAsia="黑体" w:hAnsi="黑体"/>
          <w:sz w:val="21"/>
          <w:szCs w:val="21"/>
        </w:rPr>
      </w:pPr>
      <w:r>
        <w:rPr>
          <w:rFonts w:ascii="黑体" w:eastAsia="黑体" w:hAnsi="黑体" w:hint="eastAsia"/>
          <w:sz w:val="21"/>
          <w:szCs w:val="21"/>
        </w:rPr>
        <w:t> 分析说明跨国公司的经营管理特征。</w:t>
      </w:r>
    </w:p>
    <w:p w:rsidR="004573F4" w:rsidRDefault="004573F4" w:rsidP="004573F4">
      <w:pPr>
        <w:ind w:firstLineChars="1300" w:firstLine="3900"/>
        <w:rPr>
          <w:rFonts w:ascii="黑体" w:eastAsia="黑体" w:hAnsi="黑体" w:cs="黑体"/>
          <w:sz w:val="30"/>
          <w:szCs w:val="30"/>
        </w:rPr>
      </w:pPr>
      <w:r>
        <w:rPr>
          <w:rFonts w:ascii="黑体" w:eastAsia="黑体" w:hAnsi="黑体" w:cs="黑体" w:hint="eastAsia"/>
          <w:sz w:val="30"/>
          <w:szCs w:val="30"/>
        </w:rPr>
        <w:t>参考答案</w:t>
      </w:r>
    </w:p>
    <w:p w:rsidR="004573F4" w:rsidRDefault="004573F4" w:rsidP="004573F4">
      <w:r>
        <w:rPr>
          <w:rFonts w:hint="eastAsia"/>
        </w:rPr>
        <w:t>一、</w:t>
      </w:r>
      <w:r>
        <w:rPr>
          <w:rFonts w:ascii="黑体" w:eastAsia="黑体" w:hAnsi="黑体" w:cs="黑体" w:hint="eastAsia"/>
          <w:sz w:val="24"/>
          <w:szCs w:val="24"/>
        </w:rPr>
        <w:t>名词解释</w:t>
      </w:r>
    </w:p>
    <w:p w:rsidR="004573F4" w:rsidRDefault="004573F4" w:rsidP="004573F4">
      <w:pPr>
        <w:rPr>
          <w:rFonts w:ascii="黑体" w:eastAsia="黑体" w:hAnsi="黑体" w:cs="黑体"/>
          <w:sz w:val="24"/>
        </w:rPr>
      </w:pPr>
      <w:r>
        <w:rPr>
          <w:rFonts w:hint="eastAsia"/>
        </w:rPr>
        <w:t>1.</w:t>
      </w:r>
      <w:r>
        <w:rPr>
          <w:rFonts w:ascii="黑体" w:eastAsia="黑体" w:hAnsi="黑体" w:cs="黑体" w:hint="eastAsia"/>
          <w:sz w:val="24"/>
          <w:szCs w:val="24"/>
        </w:rPr>
        <w:t>茂物宣言：1994年在印尼茂物举行APEC的第二次领导人非正式会议使亚太地区贸 易投资自由化从上一次会议的“意向阶段”进入了“实质阶段”。</w:t>
      </w:r>
    </w:p>
    <w:p w:rsidR="004573F4" w:rsidRDefault="004573F4" w:rsidP="004573F4">
      <w:pPr>
        <w:ind w:firstLineChars="100" w:firstLine="240"/>
        <w:rPr>
          <w:rFonts w:ascii="黑体" w:eastAsia="黑体" w:hAnsi="黑体" w:cs="黑体"/>
          <w:sz w:val="24"/>
        </w:rPr>
      </w:pPr>
      <w:r>
        <w:rPr>
          <w:rFonts w:ascii="黑体" w:eastAsia="黑体" w:hAnsi="黑体" w:cs="黑体" w:hint="eastAsia"/>
          <w:sz w:val="24"/>
          <w:szCs w:val="24"/>
        </w:rPr>
        <w:t>会上发表了《APEC经济领导人共同决心宣言》，即《茂物宣言》，具体确定了地区贸易投资自由化的长远计划，宣布“不迟于2020年在亚太地区实现自由、开放贸易和投资这一目标。”鉴于亚太经合组织的经济发展水平不同，宣言提出发达成员和发展成员分别不迟于2010年和2020年实现上述目标。为了如期实现这一目标，宣言要求亚太经合组织成员从现在起便“进一步减少相互间的贸易和投资壁垒，促进货物、服务和资本的自由流动。”确定贸易和投资自由化的时间进程表，这是茂物会议取得的最大成果和特点。</w:t>
      </w:r>
    </w:p>
    <w:p w:rsidR="004573F4" w:rsidRDefault="004573F4" w:rsidP="004573F4">
      <w:pPr>
        <w:rPr>
          <w:rFonts w:ascii="黑体" w:eastAsia="黑体" w:hAnsi="黑体" w:cs="黑体"/>
          <w:sz w:val="24"/>
        </w:rPr>
      </w:pPr>
      <w:r>
        <w:rPr>
          <w:rFonts w:ascii="黑体" w:eastAsia="黑体" w:hAnsi="黑体" w:cs="黑体" w:hint="eastAsia"/>
          <w:sz w:val="24"/>
          <w:szCs w:val="24"/>
        </w:rPr>
        <w:t>2.债务率；指一定时期一国的外债余额占该国当期外汇总收入的比率，该比率以不大于1为界限。用公式表示，即：债务率＝外债余额／外汇总收入≤1。国际上公认的债务率参照系数为100%，但这也不是绝对的，因为即使一国的外债余额很大，如果长、短期债务分布合理，当年的还本付息额也可保持在适当水平。</w:t>
      </w:r>
    </w:p>
    <w:p w:rsidR="004573F4" w:rsidRDefault="004573F4" w:rsidP="004573F4">
      <w:pPr>
        <w:rPr>
          <w:rFonts w:ascii="黑体" w:eastAsia="黑体" w:hAnsi="黑体" w:cs="黑体"/>
          <w:sz w:val="24"/>
        </w:rPr>
      </w:pPr>
      <w:r>
        <w:rPr>
          <w:rFonts w:ascii="黑体" w:eastAsia="黑体" w:hAnsi="黑体" w:cs="黑体" w:hint="eastAsia"/>
          <w:sz w:val="24"/>
          <w:szCs w:val="24"/>
        </w:rPr>
        <w:t>3.邀请招标：它是这样的一种采购程序，采购实体通常与少数的供应商或承包商接洽，征求提出建议，再与他们谈判有无可能对起建议书的实质内容做出更改，再从中要求提出“最佳和最后建议”，然后按照原先公开的评价标准，以及根据原先向供应商或承包商公开透露的相对比重和方式，对那些最佳和最后的建议进行评价和比较，选出最能满足采购实体需求的供应商或承包商。</w:t>
      </w:r>
    </w:p>
    <w:p w:rsidR="004573F4" w:rsidRDefault="004573F4" w:rsidP="004573F4">
      <w:pPr>
        <w:numPr>
          <w:ilvl w:val="0"/>
          <w:numId w:val="5"/>
        </w:numPr>
        <w:rPr>
          <w:rFonts w:ascii="黑体" w:eastAsia="黑体" w:hAnsi="黑体" w:cs="黑体"/>
          <w:sz w:val="24"/>
        </w:rPr>
      </w:pPr>
      <w:r>
        <w:rPr>
          <w:rFonts w:ascii="黑体" w:eastAsia="黑体" w:hAnsi="黑体" w:cs="黑体" w:hint="eastAsia"/>
          <w:sz w:val="24"/>
          <w:szCs w:val="24"/>
        </w:rPr>
        <w:t>判断题</w:t>
      </w:r>
    </w:p>
    <w:p w:rsidR="004573F4" w:rsidRDefault="004573F4" w:rsidP="004573F4">
      <w:pPr>
        <w:numPr>
          <w:ilvl w:val="0"/>
          <w:numId w:val="6"/>
        </w:numPr>
        <w:rPr>
          <w:rFonts w:ascii="黑体" w:eastAsia="黑体" w:hAnsi="黑体" w:cs="黑体"/>
          <w:sz w:val="24"/>
        </w:rPr>
      </w:pPr>
      <w:r>
        <w:rPr>
          <w:rFonts w:ascii="黑体" w:eastAsia="黑体" w:hAnsi="黑体" w:cs="黑体" w:hint="eastAsia"/>
          <w:sz w:val="24"/>
          <w:szCs w:val="24"/>
        </w:rPr>
        <w:t>-5 ××√××</w:t>
      </w:r>
    </w:p>
    <w:p w:rsidR="004573F4" w:rsidRDefault="004573F4" w:rsidP="004573F4">
      <w:pPr>
        <w:numPr>
          <w:ilvl w:val="0"/>
          <w:numId w:val="5"/>
        </w:numPr>
        <w:rPr>
          <w:rFonts w:ascii="黑体" w:eastAsia="黑体" w:hAnsi="黑体" w:cs="黑体"/>
          <w:sz w:val="24"/>
        </w:rPr>
      </w:pPr>
      <w:r>
        <w:rPr>
          <w:rFonts w:ascii="黑体" w:eastAsia="黑体" w:hAnsi="黑体" w:cs="黑体" w:hint="eastAsia"/>
          <w:sz w:val="24"/>
          <w:szCs w:val="24"/>
        </w:rPr>
        <w:t>简答题</w:t>
      </w:r>
    </w:p>
    <w:p w:rsidR="004573F4" w:rsidRDefault="004573F4" w:rsidP="004573F4">
      <w:pPr>
        <w:pStyle w:val="a3"/>
        <w:numPr>
          <w:ilvl w:val="0"/>
          <w:numId w:val="7"/>
        </w:numPr>
        <w:tabs>
          <w:tab w:val="clear" w:pos="312"/>
        </w:tabs>
        <w:adjustRightInd w:val="0"/>
        <w:snapToGrid w:val="0"/>
        <w:spacing w:before="0" w:beforeAutospacing="0" w:after="0" w:afterAutospacing="0" w:line="460" w:lineRule="exact"/>
        <w:rPr>
          <w:rFonts w:ascii="黑体" w:eastAsia="黑体" w:hAnsi="黑体"/>
          <w:sz w:val="21"/>
          <w:szCs w:val="21"/>
        </w:rPr>
      </w:pPr>
      <w:r>
        <w:rPr>
          <w:rFonts w:ascii="黑体" w:eastAsia="黑体" w:hAnsi="黑体" w:hint="eastAsia"/>
          <w:sz w:val="21"/>
          <w:szCs w:val="21"/>
        </w:rPr>
        <w:t>世界贸易组织的宗旨是什么？  </w:t>
      </w:r>
    </w:p>
    <w:p w:rsidR="004573F4" w:rsidRDefault="004573F4" w:rsidP="004573F4">
      <w:pPr>
        <w:rPr>
          <w:rFonts w:ascii="黑体" w:eastAsia="黑体" w:hAnsi="黑体"/>
          <w:szCs w:val="21"/>
        </w:rPr>
      </w:pPr>
      <w:r>
        <w:rPr>
          <w:rFonts w:ascii="黑体" w:eastAsia="黑体" w:hAnsi="黑体" w:cs="黑体" w:hint="eastAsia"/>
          <w:sz w:val="24"/>
          <w:szCs w:val="24"/>
        </w:rPr>
        <w:t>答：WTO的宗旨是：（1）提高生活水平，保证充分就业，大幅度稳步地提高实际收入和有效需求；（2）扩大货物、服务的生产和贸易；（3）坚持走可持续发展之路，各成员应促进对世界资源的最优利用，保护环境，并以符合不同经济发展水平下各自成员需要的方式，加强采取各种相应的措施；（4）积极努力确保发展中国家，尤其是最不发达国家，在国际贸易增长中获得与其经济发展水平相应的份</w:t>
      </w:r>
      <w:r>
        <w:rPr>
          <w:rFonts w:ascii="黑体" w:eastAsia="黑体" w:hAnsi="黑体" w:cs="黑体" w:hint="eastAsia"/>
          <w:sz w:val="24"/>
          <w:szCs w:val="24"/>
        </w:rPr>
        <w:lastRenderedPageBreak/>
        <w:t>额和利益。</w:t>
      </w:r>
    </w:p>
    <w:p w:rsidR="004573F4" w:rsidRDefault="004573F4" w:rsidP="004573F4">
      <w:pPr>
        <w:pStyle w:val="a3"/>
        <w:numPr>
          <w:ilvl w:val="0"/>
          <w:numId w:val="7"/>
        </w:numPr>
        <w:tabs>
          <w:tab w:val="clear" w:pos="312"/>
        </w:tabs>
        <w:adjustRightInd w:val="0"/>
        <w:snapToGrid w:val="0"/>
        <w:spacing w:before="0" w:beforeAutospacing="0" w:after="0" w:afterAutospacing="0" w:line="460" w:lineRule="exact"/>
        <w:rPr>
          <w:rFonts w:ascii="黑体" w:eastAsia="黑体" w:hAnsi="黑体"/>
          <w:sz w:val="21"/>
          <w:szCs w:val="21"/>
        </w:rPr>
      </w:pPr>
      <w:r>
        <w:rPr>
          <w:rFonts w:ascii="黑体" w:eastAsia="黑体" w:hAnsi="黑体" w:hint="eastAsia"/>
          <w:sz w:val="21"/>
          <w:szCs w:val="21"/>
        </w:rPr>
        <w:t>何谓“特里芬两难”？ </w:t>
      </w:r>
    </w:p>
    <w:p w:rsidR="004573F4" w:rsidRDefault="004573F4" w:rsidP="004573F4">
      <w:pPr>
        <w:pStyle w:val="a3"/>
        <w:adjustRightInd w:val="0"/>
        <w:snapToGrid w:val="0"/>
        <w:spacing w:before="0" w:beforeAutospacing="0" w:after="0" w:afterAutospacing="0" w:line="460" w:lineRule="exact"/>
        <w:rPr>
          <w:rFonts w:ascii="黑体" w:eastAsia="黑体" w:hAnsi="黑体"/>
          <w:sz w:val="21"/>
          <w:szCs w:val="21"/>
        </w:rPr>
      </w:pPr>
      <w:r>
        <w:rPr>
          <w:rFonts w:ascii="黑体" w:eastAsia="黑体" w:hAnsi="黑体" w:hint="eastAsia"/>
          <w:sz w:val="21"/>
          <w:szCs w:val="21"/>
        </w:rPr>
        <w:t>答：特里芬</w:t>
      </w:r>
      <w:proofErr w:type="gramStart"/>
      <w:r>
        <w:rPr>
          <w:rFonts w:ascii="黑体" w:eastAsia="黑体" w:hAnsi="黑体" w:hint="eastAsia"/>
          <w:sz w:val="21"/>
          <w:szCs w:val="21"/>
        </w:rPr>
        <w:t>两难指</w:t>
      </w:r>
      <w:proofErr w:type="gramEnd"/>
      <w:r>
        <w:rPr>
          <w:rFonts w:ascii="黑体" w:eastAsia="黑体" w:hAnsi="黑体" w:hint="eastAsia"/>
          <w:sz w:val="21"/>
          <w:szCs w:val="21"/>
        </w:rPr>
        <w:t>美耶鲁大学教授特里芬提出的布雷顿森林体系存在着自身无法克服的内在矛盾。布雷顿森林体系是建立在美国一国的经济基础上的，以美元一国货币作为主要的国际储备和支付货币，如果美国国际收支保持顺差，那么国际储备资产就不能满足国际贸易发展的需要，就会发生美元供不应求的短缺现象；但如果美国的国际收支长期保持逆差，那么国际储备资产就会发生过剩现象，造成美元泛滥，进而导致美元危机，并危及布雷顿森林体系。特里芬</w:t>
      </w:r>
      <w:proofErr w:type="gramStart"/>
      <w:r>
        <w:rPr>
          <w:rFonts w:ascii="黑体" w:eastAsia="黑体" w:hAnsi="黑体" w:hint="eastAsia"/>
          <w:sz w:val="21"/>
          <w:szCs w:val="21"/>
        </w:rPr>
        <w:t>两难决定</w:t>
      </w:r>
      <w:proofErr w:type="gramEnd"/>
      <w:r>
        <w:rPr>
          <w:rFonts w:ascii="黑体" w:eastAsia="黑体" w:hAnsi="黑体" w:hint="eastAsia"/>
          <w:sz w:val="21"/>
          <w:szCs w:val="21"/>
        </w:rPr>
        <w:t>了布雷顿森林体系的不稳定性和垮台的必然性。</w:t>
      </w:r>
    </w:p>
    <w:p w:rsidR="004573F4" w:rsidRDefault="00571A93" w:rsidP="004573F4">
      <w:pPr>
        <w:pStyle w:val="a3"/>
        <w:adjustRightInd w:val="0"/>
        <w:snapToGrid w:val="0"/>
        <w:spacing w:before="0" w:beforeAutospacing="0" w:after="0" w:afterAutospacing="0" w:line="460" w:lineRule="exact"/>
        <w:rPr>
          <w:rFonts w:ascii="黑体" w:eastAsia="黑体" w:hAnsi="黑体"/>
          <w:sz w:val="21"/>
          <w:szCs w:val="21"/>
        </w:rPr>
      </w:pPr>
      <w:r>
        <w:rPr>
          <w:rFonts w:ascii="黑体" w:eastAsia="黑体" w:hAnsi="黑体" w:hint="eastAsia"/>
        </w:rPr>
        <w:t>四</w:t>
      </w:r>
      <w:r w:rsidR="004573F4">
        <w:rPr>
          <w:rFonts w:ascii="黑体" w:eastAsia="黑体" w:hAnsi="黑体" w:hint="eastAsia"/>
        </w:rPr>
        <w:t>、论述题</w:t>
      </w:r>
      <w:r w:rsidR="004573F4">
        <w:rPr>
          <w:rFonts w:ascii="黑体" w:eastAsia="黑体" w:hAnsi="黑体" w:hint="eastAsia"/>
          <w:sz w:val="21"/>
          <w:szCs w:val="21"/>
        </w:rPr>
        <w:t>（共1题，共15分）</w:t>
      </w:r>
    </w:p>
    <w:p w:rsidR="004573F4" w:rsidRDefault="004573F4" w:rsidP="004573F4">
      <w:pPr>
        <w:pStyle w:val="a3"/>
        <w:adjustRightInd w:val="0"/>
        <w:snapToGrid w:val="0"/>
        <w:spacing w:before="0" w:beforeAutospacing="0" w:after="0" w:afterAutospacing="0" w:line="460" w:lineRule="exact"/>
        <w:rPr>
          <w:rFonts w:ascii="黑体" w:eastAsia="黑体" w:hAnsi="黑体"/>
          <w:sz w:val="21"/>
          <w:szCs w:val="21"/>
        </w:rPr>
      </w:pPr>
      <w:r>
        <w:rPr>
          <w:rFonts w:ascii="黑体" w:eastAsia="黑体" w:hAnsi="黑体" w:hint="eastAsia"/>
          <w:sz w:val="21"/>
          <w:szCs w:val="21"/>
        </w:rPr>
        <w:t>分别论述发达资本主义国家（美国、德国和日本）市场经济的模式，并比较它们之间存在的差异</w:t>
      </w:r>
    </w:p>
    <w:p w:rsidR="004573F4" w:rsidRDefault="004573F4" w:rsidP="004573F4">
      <w:pPr>
        <w:rPr>
          <w:rFonts w:ascii="黑体" w:eastAsia="黑体" w:hAnsi="黑体" w:cs="黑体"/>
          <w:sz w:val="24"/>
        </w:rPr>
      </w:pPr>
    </w:p>
    <w:p w:rsidR="004573F4" w:rsidRDefault="004573F4" w:rsidP="004573F4">
      <w:pPr>
        <w:rPr>
          <w:rFonts w:ascii="黑体" w:eastAsia="黑体" w:hAnsi="黑体" w:cs="黑体"/>
          <w:sz w:val="24"/>
        </w:rPr>
      </w:pPr>
      <w:r>
        <w:rPr>
          <w:rFonts w:ascii="黑体" w:eastAsia="黑体" w:hAnsi="黑体" w:cs="黑体" w:hint="eastAsia"/>
          <w:sz w:val="24"/>
          <w:szCs w:val="24"/>
        </w:rPr>
        <w:t>答案要点： </w:t>
      </w:r>
    </w:p>
    <w:p w:rsidR="004573F4" w:rsidRDefault="004573F4" w:rsidP="004573F4">
      <w:pPr>
        <w:rPr>
          <w:rFonts w:ascii="黑体" w:eastAsia="黑体" w:hAnsi="黑体" w:cs="黑体"/>
          <w:sz w:val="24"/>
        </w:rPr>
      </w:pPr>
      <w:r>
        <w:rPr>
          <w:rFonts w:ascii="黑体" w:eastAsia="黑体" w:hAnsi="黑体" w:cs="黑体" w:hint="eastAsia"/>
          <w:sz w:val="24"/>
          <w:szCs w:val="24"/>
        </w:rPr>
        <w:t>（1）美国模式：自由主义经济模式；德国模式：社会市场经济模式；日本模式：政府主导型市场经济模式。</w:t>
      </w:r>
    </w:p>
    <w:p w:rsidR="004573F4" w:rsidRDefault="004573F4" w:rsidP="004573F4">
      <w:pPr>
        <w:rPr>
          <w:rFonts w:ascii="黑体" w:eastAsia="黑体" w:hAnsi="黑体" w:cs="黑体"/>
          <w:sz w:val="24"/>
        </w:rPr>
      </w:pPr>
      <w:r>
        <w:rPr>
          <w:rFonts w:ascii="黑体" w:eastAsia="黑体" w:hAnsi="黑体" w:cs="黑体" w:hint="eastAsia"/>
          <w:sz w:val="24"/>
          <w:szCs w:val="24"/>
        </w:rPr>
        <w:t>（2）举出一种模式认为它更能为我国的经济建设提供借鉴意义，简单写明原因。</w:t>
      </w:r>
    </w:p>
    <w:p w:rsidR="004573F4" w:rsidRDefault="00571A93" w:rsidP="004573F4">
      <w:pPr>
        <w:rPr>
          <w:rFonts w:ascii="黑体" w:eastAsia="黑体" w:hAnsi="黑体" w:cs="黑体"/>
          <w:sz w:val="24"/>
        </w:rPr>
      </w:pPr>
      <w:r>
        <w:rPr>
          <w:rFonts w:ascii="黑体" w:eastAsia="黑体" w:hAnsi="黑体" w:cs="黑体" w:hint="eastAsia"/>
          <w:sz w:val="24"/>
          <w:szCs w:val="24"/>
        </w:rPr>
        <w:t>五</w:t>
      </w:r>
      <w:r w:rsidR="004573F4">
        <w:rPr>
          <w:rFonts w:ascii="黑体" w:eastAsia="黑体" w:hAnsi="黑体" w:cs="黑体" w:hint="eastAsia"/>
          <w:sz w:val="24"/>
          <w:szCs w:val="24"/>
        </w:rPr>
        <w:t>、案例分析</w:t>
      </w:r>
    </w:p>
    <w:p w:rsidR="004573F4" w:rsidRDefault="004573F4" w:rsidP="004573F4">
      <w:pPr>
        <w:rPr>
          <w:rFonts w:ascii="黑体" w:eastAsia="黑体" w:hAnsi="黑体" w:cs="黑体"/>
          <w:sz w:val="24"/>
        </w:rPr>
      </w:pPr>
      <w:r>
        <w:rPr>
          <w:rFonts w:ascii="黑体" w:eastAsia="黑体" w:hAnsi="黑体" w:cs="黑体" w:hint="eastAsia"/>
          <w:sz w:val="24"/>
          <w:szCs w:val="24"/>
        </w:rPr>
        <w:t> 答案要点： </w:t>
      </w:r>
    </w:p>
    <w:p w:rsidR="004573F4" w:rsidRDefault="004573F4" w:rsidP="004573F4">
      <w:pPr>
        <w:numPr>
          <w:ilvl w:val="0"/>
          <w:numId w:val="8"/>
        </w:numPr>
        <w:rPr>
          <w:rFonts w:ascii="黑体" w:eastAsia="黑体" w:hAnsi="黑体" w:cs="黑体"/>
          <w:sz w:val="24"/>
        </w:rPr>
      </w:pPr>
      <w:r>
        <w:rPr>
          <w:rFonts w:ascii="黑体" w:eastAsia="黑体" w:hAnsi="黑体" w:cs="黑体" w:hint="eastAsia"/>
          <w:sz w:val="24"/>
          <w:szCs w:val="24"/>
        </w:rPr>
        <w:t> 答：企业内国际分工，表现为大企业或企业集团根据不同国家的生产要素优势或资源优势，将自己产品的不同生产环节或工序安排在不同的国家进行，以追求生产要素或资源的综合优势。结果使国际分工成为企业内的生产分工或劳动分工。</w:t>
      </w:r>
    </w:p>
    <w:p w:rsidR="004573F4" w:rsidRDefault="004573F4" w:rsidP="004573F4">
      <w:pPr>
        <w:numPr>
          <w:ilvl w:val="0"/>
          <w:numId w:val="8"/>
        </w:numPr>
        <w:rPr>
          <w:rFonts w:ascii="黑体" w:eastAsia="黑体" w:hAnsi="黑体" w:cs="黑体"/>
          <w:sz w:val="24"/>
        </w:rPr>
      </w:pPr>
      <w:r>
        <w:rPr>
          <w:rFonts w:ascii="黑体" w:eastAsia="黑体" w:hAnsi="黑体" w:cs="黑体" w:hint="eastAsia"/>
          <w:sz w:val="24"/>
          <w:szCs w:val="24"/>
        </w:rPr>
        <w:t>答：（1）战略目标的全球化；（2）营运过程的国际化；（3）组织管理的内部一体化；（4）经营方式的多样化；（5）生产要素转移的内部化。 </w:t>
      </w:r>
    </w:p>
    <w:p w:rsidR="004573F4" w:rsidRDefault="004573F4" w:rsidP="004573F4">
      <w:pPr>
        <w:rPr>
          <w:rFonts w:ascii="黑体" w:eastAsia="黑体" w:hAnsi="黑体" w:cs="黑体"/>
          <w:sz w:val="24"/>
        </w:rPr>
      </w:pPr>
    </w:p>
    <w:p w:rsidR="005334CA" w:rsidRDefault="005334CA" w:rsidP="004573F4">
      <w:pPr>
        <w:rPr>
          <w:rFonts w:ascii="黑体" w:eastAsia="黑体" w:hAnsi="黑体" w:cs="黑体"/>
          <w:sz w:val="24"/>
        </w:rPr>
      </w:pPr>
    </w:p>
    <w:p w:rsidR="005334CA" w:rsidRDefault="005334CA" w:rsidP="004573F4">
      <w:pPr>
        <w:rPr>
          <w:rFonts w:ascii="黑体" w:eastAsia="黑体" w:hAnsi="黑体" w:cs="黑体"/>
          <w:sz w:val="24"/>
        </w:rPr>
      </w:pPr>
    </w:p>
    <w:p w:rsidR="005334CA" w:rsidRDefault="005334CA" w:rsidP="004573F4">
      <w:pPr>
        <w:rPr>
          <w:rFonts w:ascii="黑体" w:eastAsia="黑体" w:hAnsi="黑体" w:cs="黑体"/>
          <w:sz w:val="24"/>
        </w:rPr>
      </w:pPr>
    </w:p>
    <w:p w:rsidR="005334CA" w:rsidRDefault="005334CA" w:rsidP="004573F4">
      <w:pPr>
        <w:rPr>
          <w:rFonts w:ascii="黑体" w:eastAsia="黑体" w:hAnsi="黑体" w:cs="黑体"/>
          <w:sz w:val="24"/>
        </w:rPr>
      </w:pPr>
    </w:p>
    <w:p w:rsidR="005334CA" w:rsidRDefault="005334CA" w:rsidP="004573F4">
      <w:pPr>
        <w:rPr>
          <w:rFonts w:ascii="黑体" w:eastAsia="黑体" w:hAnsi="黑体" w:cs="黑体"/>
          <w:sz w:val="24"/>
        </w:rPr>
      </w:pPr>
    </w:p>
    <w:p w:rsidR="005334CA" w:rsidRDefault="005334CA" w:rsidP="004573F4">
      <w:pPr>
        <w:rPr>
          <w:rFonts w:ascii="黑体" w:eastAsia="黑体" w:hAnsi="黑体" w:cs="黑体"/>
          <w:sz w:val="24"/>
        </w:rPr>
      </w:pPr>
    </w:p>
    <w:p w:rsidR="005334CA" w:rsidRDefault="005334CA" w:rsidP="004573F4">
      <w:pPr>
        <w:rPr>
          <w:rFonts w:ascii="黑体" w:eastAsia="黑体" w:hAnsi="黑体" w:cs="黑体"/>
          <w:sz w:val="24"/>
        </w:rPr>
      </w:pPr>
    </w:p>
    <w:p w:rsidR="005334CA" w:rsidRDefault="005334CA" w:rsidP="004573F4">
      <w:pPr>
        <w:rPr>
          <w:rFonts w:ascii="黑体" w:eastAsia="黑体" w:hAnsi="黑体" w:cs="黑体"/>
          <w:sz w:val="24"/>
        </w:rPr>
      </w:pPr>
    </w:p>
    <w:p w:rsidR="005334CA" w:rsidRDefault="005334CA" w:rsidP="004573F4">
      <w:pPr>
        <w:rPr>
          <w:rFonts w:ascii="黑体" w:eastAsia="黑体" w:hAnsi="黑体" w:cs="黑体"/>
          <w:sz w:val="24"/>
        </w:rPr>
      </w:pPr>
    </w:p>
    <w:p w:rsidR="005334CA" w:rsidRDefault="005334CA" w:rsidP="004573F4">
      <w:pPr>
        <w:rPr>
          <w:rFonts w:ascii="黑体" w:eastAsia="黑体" w:hAnsi="黑体" w:cs="黑体"/>
          <w:sz w:val="24"/>
        </w:rPr>
      </w:pPr>
    </w:p>
    <w:p w:rsidR="005334CA" w:rsidRDefault="005334CA" w:rsidP="004573F4">
      <w:pPr>
        <w:rPr>
          <w:rFonts w:ascii="黑体" w:eastAsia="黑体" w:hAnsi="黑体" w:cs="黑体"/>
          <w:sz w:val="24"/>
        </w:rPr>
      </w:pPr>
    </w:p>
    <w:p w:rsidR="005334CA" w:rsidRDefault="005334CA" w:rsidP="004573F4">
      <w:pPr>
        <w:rPr>
          <w:rFonts w:ascii="黑体" w:eastAsia="黑体" w:hAnsi="黑体" w:cs="黑体"/>
          <w:sz w:val="24"/>
        </w:rPr>
      </w:pPr>
    </w:p>
    <w:p w:rsidR="005334CA" w:rsidRDefault="005334CA" w:rsidP="004573F4">
      <w:pPr>
        <w:rPr>
          <w:rFonts w:ascii="黑体" w:eastAsia="黑体" w:hAnsi="黑体" w:cs="黑体"/>
          <w:sz w:val="24"/>
        </w:rPr>
      </w:pPr>
    </w:p>
    <w:p w:rsidR="005334CA" w:rsidRDefault="005334CA" w:rsidP="004573F4">
      <w:pPr>
        <w:rPr>
          <w:rFonts w:ascii="黑体" w:eastAsia="黑体" w:hAnsi="黑体" w:cs="黑体"/>
          <w:sz w:val="24"/>
        </w:rPr>
      </w:pPr>
    </w:p>
    <w:p w:rsidR="004573F4" w:rsidRPr="004573F4" w:rsidRDefault="004573F4" w:rsidP="004573F4">
      <w:pPr>
        <w:jc w:val="center"/>
        <w:rPr>
          <w:rFonts w:ascii="黑体" w:eastAsia="黑体"/>
          <w:b/>
          <w:bCs/>
          <w:sz w:val="32"/>
        </w:rPr>
      </w:pPr>
      <w:r w:rsidRPr="004573F4">
        <w:rPr>
          <w:rFonts w:ascii="黑体" w:eastAsia="黑体" w:hint="eastAsia"/>
          <w:b/>
          <w:bCs/>
          <w:sz w:val="32"/>
        </w:rPr>
        <w:lastRenderedPageBreak/>
        <w:t>世界经济学   复习资料</w:t>
      </w:r>
      <w:r>
        <w:rPr>
          <w:rFonts w:ascii="黑体" w:eastAsia="黑体" w:hint="eastAsia"/>
          <w:b/>
          <w:bCs/>
          <w:sz w:val="32"/>
        </w:rPr>
        <w:t>2</w:t>
      </w:r>
    </w:p>
    <w:p w:rsidR="004573F4" w:rsidRDefault="004573F4" w:rsidP="004573F4">
      <w:pPr>
        <w:rPr>
          <w:rFonts w:ascii="黑体" w:eastAsia="黑体" w:hAnsi="黑体" w:cs="黑体"/>
          <w:sz w:val="24"/>
        </w:rPr>
      </w:pPr>
    </w:p>
    <w:p w:rsidR="004573F4" w:rsidRDefault="00FE3922" w:rsidP="005334CA">
      <w:pPr>
        <w:pStyle w:val="a3"/>
        <w:adjustRightInd w:val="0"/>
        <w:snapToGrid w:val="0"/>
        <w:spacing w:before="0" w:beforeAutospacing="0" w:after="0" w:afterAutospacing="0" w:line="460" w:lineRule="exact"/>
        <w:rPr>
          <w:rFonts w:ascii="黑体" w:eastAsia="黑体" w:hAnsi="黑体"/>
        </w:rPr>
      </w:pPr>
      <w:r>
        <w:rPr>
          <w:rFonts w:ascii="黑体" w:eastAsia="黑体" w:hAnsi="黑体" w:hint="eastAsia"/>
        </w:rPr>
        <w:t>一</w:t>
      </w:r>
      <w:r>
        <w:rPr>
          <w:rFonts w:ascii="黑体" w:eastAsia="黑体" w:hAnsi="黑体"/>
        </w:rPr>
        <w:t>、</w:t>
      </w:r>
      <w:r w:rsidR="004573F4">
        <w:rPr>
          <w:rFonts w:ascii="黑体" w:eastAsia="黑体" w:hAnsi="黑体" w:hint="eastAsia"/>
        </w:rPr>
        <w:t>简答题</w:t>
      </w:r>
    </w:p>
    <w:p w:rsidR="004573F4" w:rsidRDefault="004573F4" w:rsidP="004573F4">
      <w:pPr>
        <w:pStyle w:val="a3"/>
        <w:numPr>
          <w:ilvl w:val="0"/>
          <w:numId w:val="10"/>
        </w:numPr>
        <w:adjustRightInd w:val="0"/>
        <w:snapToGrid w:val="0"/>
        <w:spacing w:before="0" w:beforeAutospacing="0" w:after="0" w:afterAutospacing="0" w:line="460" w:lineRule="exact"/>
        <w:rPr>
          <w:rFonts w:ascii="黑体" w:eastAsia="黑体" w:hAnsi="黑体" w:cs="黑体"/>
          <w:sz w:val="21"/>
          <w:szCs w:val="21"/>
        </w:rPr>
      </w:pPr>
      <w:r>
        <w:rPr>
          <w:rFonts w:ascii="黑体" w:eastAsia="黑体" w:hAnsi="黑体" w:cs="黑体" w:hint="eastAsia"/>
          <w:sz w:val="21"/>
          <w:szCs w:val="21"/>
        </w:rPr>
        <w:t>世界市场中不平等交换形成的原因及表现是什么？ </w:t>
      </w:r>
    </w:p>
    <w:p w:rsidR="004573F4" w:rsidRDefault="004573F4" w:rsidP="004573F4">
      <w:pPr>
        <w:pStyle w:val="a3"/>
        <w:adjustRightInd w:val="0"/>
        <w:snapToGrid w:val="0"/>
        <w:spacing w:before="0" w:beforeAutospacing="0" w:after="0" w:afterAutospacing="0" w:line="460" w:lineRule="exact"/>
        <w:rPr>
          <w:rFonts w:ascii="黑体" w:eastAsia="黑体" w:hAnsi="黑体" w:cs="黑体"/>
          <w:sz w:val="21"/>
          <w:szCs w:val="21"/>
        </w:rPr>
      </w:pPr>
      <w:r>
        <w:rPr>
          <w:rFonts w:ascii="黑体" w:eastAsia="黑体" w:hAnsi="黑体" w:cs="黑体" w:hint="eastAsia"/>
          <w:sz w:val="21"/>
          <w:szCs w:val="21"/>
        </w:rPr>
        <w:t>2.技术国际流动的主要方式有哪些？ </w:t>
      </w:r>
    </w:p>
    <w:p w:rsidR="004573F4" w:rsidRDefault="00FE3922" w:rsidP="004573F4">
      <w:pPr>
        <w:pStyle w:val="a3"/>
        <w:adjustRightInd w:val="0"/>
        <w:snapToGrid w:val="0"/>
        <w:spacing w:before="0" w:beforeAutospacing="0" w:after="0" w:afterAutospacing="0" w:line="460" w:lineRule="exact"/>
        <w:rPr>
          <w:rFonts w:ascii="黑体" w:eastAsia="黑体" w:hAnsi="黑体"/>
          <w:sz w:val="21"/>
          <w:szCs w:val="21"/>
        </w:rPr>
      </w:pPr>
      <w:r>
        <w:rPr>
          <w:rFonts w:ascii="黑体" w:eastAsia="黑体" w:hAnsi="黑体" w:hint="eastAsia"/>
        </w:rPr>
        <w:t>二</w:t>
      </w:r>
      <w:r>
        <w:rPr>
          <w:rFonts w:ascii="黑体" w:eastAsia="黑体" w:hAnsi="黑体"/>
        </w:rPr>
        <w:t>、</w:t>
      </w:r>
      <w:r w:rsidR="004573F4">
        <w:rPr>
          <w:rFonts w:ascii="黑体" w:eastAsia="黑体" w:hAnsi="黑体" w:hint="eastAsia"/>
        </w:rPr>
        <w:t>论述题</w:t>
      </w:r>
    </w:p>
    <w:p w:rsidR="004573F4" w:rsidRDefault="004573F4" w:rsidP="004573F4">
      <w:pPr>
        <w:pStyle w:val="a3"/>
        <w:numPr>
          <w:ilvl w:val="0"/>
          <w:numId w:val="11"/>
        </w:numPr>
        <w:adjustRightInd w:val="0"/>
        <w:snapToGrid w:val="0"/>
        <w:spacing w:before="0" w:beforeAutospacing="0" w:after="0" w:afterAutospacing="0" w:line="460" w:lineRule="exact"/>
        <w:rPr>
          <w:rFonts w:ascii="黑体" w:eastAsia="黑体" w:hAnsi="黑体"/>
          <w:sz w:val="21"/>
          <w:szCs w:val="21"/>
        </w:rPr>
      </w:pPr>
      <w:r>
        <w:rPr>
          <w:rFonts w:ascii="黑体" w:eastAsia="黑体" w:hAnsi="黑体" w:hint="eastAsia"/>
          <w:sz w:val="21"/>
          <w:szCs w:val="21"/>
        </w:rPr>
        <w:t>当代国际货币体系存在的问题是什么？</w:t>
      </w:r>
    </w:p>
    <w:p w:rsidR="004573F4" w:rsidRDefault="004573F4" w:rsidP="004573F4">
      <w:pPr>
        <w:pStyle w:val="a3"/>
        <w:numPr>
          <w:ilvl w:val="0"/>
          <w:numId w:val="11"/>
        </w:numPr>
        <w:adjustRightInd w:val="0"/>
        <w:snapToGrid w:val="0"/>
        <w:spacing w:before="0" w:beforeAutospacing="0" w:after="0" w:afterAutospacing="0" w:line="460" w:lineRule="exact"/>
        <w:rPr>
          <w:rFonts w:ascii="黑体" w:eastAsia="黑体" w:hAnsi="黑体"/>
          <w:sz w:val="21"/>
          <w:szCs w:val="21"/>
        </w:rPr>
      </w:pPr>
      <w:r>
        <w:rPr>
          <w:rFonts w:ascii="黑体" w:eastAsia="黑体" w:hAnsi="黑体" w:cs="黑体" w:hint="eastAsia"/>
          <w:sz w:val="21"/>
          <w:szCs w:val="21"/>
        </w:rPr>
        <w:t>试述战后世界经济格局的特点？</w:t>
      </w:r>
    </w:p>
    <w:p w:rsidR="004573F4" w:rsidRDefault="004573F4" w:rsidP="004573F4">
      <w:pPr>
        <w:jc w:val="center"/>
        <w:rPr>
          <w:rFonts w:ascii="黑体" w:eastAsia="黑体" w:hAnsi="黑体" w:cs="黑体"/>
          <w:sz w:val="30"/>
          <w:szCs w:val="30"/>
        </w:rPr>
      </w:pPr>
      <w:r>
        <w:rPr>
          <w:rFonts w:ascii="黑体" w:eastAsia="黑体" w:hAnsi="黑体" w:cs="黑体" w:hint="eastAsia"/>
          <w:sz w:val="30"/>
          <w:szCs w:val="30"/>
        </w:rPr>
        <w:t>参考答案</w:t>
      </w:r>
    </w:p>
    <w:p w:rsidR="004573F4" w:rsidRDefault="00FE3922" w:rsidP="004573F4">
      <w:pPr>
        <w:rPr>
          <w:rFonts w:ascii="黑体" w:eastAsia="黑体" w:hAnsi="黑体" w:cs="黑体"/>
          <w:sz w:val="24"/>
        </w:rPr>
      </w:pPr>
      <w:r>
        <w:rPr>
          <w:rFonts w:ascii="黑体" w:eastAsia="黑体" w:hAnsi="黑体" w:cs="黑体" w:hint="eastAsia"/>
          <w:sz w:val="24"/>
          <w:szCs w:val="24"/>
        </w:rPr>
        <w:t>一</w:t>
      </w:r>
      <w:r>
        <w:rPr>
          <w:rFonts w:ascii="黑体" w:eastAsia="黑体" w:hAnsi="黑体" w:cs="黑体"/>
          <w:sz w:val="24"/>
          <w:szCs w:val="24"/>
        </w:rPr>
        <w:t>、</w:t>
      </w:r>
      <w:r w:rsidR="004573F4">
        <w:rPr>
          <w:rFonts w:ascii="黑体" w:eastAsia="黑体" w:hAnsi="黑体" w:cs="黑体" w:hint="eastAsia"/>
          <w:sz w:val="24"/>
          <w:szCs w:val="24"/>
        </w:rPr>
        <w:t>简答题</w:t>
      </w:r>
    </w:p>
    <w:p w:rsidR="004573F4" w:rsidRDefault="004573F4" w:rsidP="004573F4">
      <w:pPr>
        <w:rPr>
          <w:rFonts w:ascii="黑体" w:eastAsia="黑体" w:hAnsi="黑体" w:cs="黑体"/>
          <w:sz w:val="24"/>
        </w:rPr>
      </w:pPr>
      <w:r>
        <w:rPr>
          <w:rFonts w:ascii="黑体" w:eastAsia="黑体" w:hAnsi="黑体" w:cs="黑体" w:hint="eastAsia"/>
          <w:sz w:val="24"/>
          <w:szCs w:val="24"/>
        </w:rPr>
        <w:t>1.世界市场中不平等交换形成的原因及表现是什么？ </w:t>
      </w:r>
    </w:p>
    <w:p w:rsidR="004573F4" w:rsidRDefault="004573F4" w:rsidP="004573F4">
      <w:pPr>
        <w:rPr>
          <w:rFonts w:ascii="黑体" w:eastAsia="黑体" w:hAnsi="黑体" w:cs="黑体"/>
          <w:sz w:val="24"/>
        </w:rPr>
      </w:pPr>
      <w:r>
        <w:rPr>
          <w:rFonts w:ascii="黑体" w:eastAsia="黑体" w:hAnsi="黑体" w:cs="黑体" w:hint="eastAsia"/>
          <w:sz w:val="24"/>
          <w:szCs w:val="24"/>
        </w:rPr>
        <w:t>世界市场上的不平等交换指的是，在世界市场上，以高于或者低于国际价值进行的商品交换，或者说用于交换的商品包含了物化劳动量的差异。 </w:t>
      </w:r>
    </w:p>
    <w:p w:rsidR="004573F4" w:rsidRDefault="004573F4" w:rsidP="004573F4">
      <w:pPr>
        <w:rPr>
          <w:rFonts w:ascii="黑体" w:eastAsia="黑体" w:hAnsi="黑体" w:cs="黑体"/>
          <w:sz w:val="24"/>
        </w:rPr>
      </w:pPr>
      <w:r>
        <w:rPr>
          <w:rFonts w:ascii="黑体" w:eastAsia="黑体" w:hAnsi="黑体" w:cs="黑体" w:hint="eastAsia"/>
          <w:sz w:val="24"/>
          <w:szCs w:val="24"/>
        </w:rPr>
        <w:t>在早期的殖民体系下，世界市场尚处于萌芽时期，此时的不平等交换表现为宗主国通过战争以及不平等条约对殖民地的掠夺。其原因在于殖民主义者凭借政治和军事上的优势，以低廉的价格从殖民地输入原材料，同时又将本国的商品强行分配给殖民地居民，这种商品交换并不取决于商品的价值和供求关系，而是取决于宗主国的意志。 </w:t>
      </w:r>
    </w:p>
    <w:p w:rsidR="004573F4" w:rsidRDefault="004573F4" w:rsidP="004573F4">
      <w:pPr>
        <w:rPr>
          <w:rFonts w:ascii="黑体" w:eastAsia="黑体" w:hAnsi="黑体" w:cs="黑体"/>
          <w:sz w:val="24"/>
        </w:rPr>
      </w:pPr>
      <w:r>
        <w:rPr>
          <w:rFonts w:ascii="黑体" w:eastAsia="黑体" w:hAnsi="黑体" w:cs="黑体" w:hint="eastAsia"/>
          <w:sz w:val="24"/>
          <w:szCs w:val="24"/>
        </w:rPr>
        <w:t>两次工业革命后，等价交换机制的确立，标志着世界市场进入了一个有序发展的过程。不平等交换则表现为用于交换的商品包含了</w:t>
      </w:r>
      <w:proofErr w:type="gramStart"/>
      <w:r>
        <w:rPr>
          <w:rFonts w:ascii="黑体" w:eastAsia="黑体" w:hAnsi="黑体" w:cs="黑体" w:hint="eastAsia"/>
          <w:sz w:val="24"/>
          <w:szCs w:val="24"/>
        </w:rPr>
        <w:t>不</w:t>
      </w:r>
      <w:proofErr w:type="gramEnd"/>
      <w:r>
        <w:rPr>
          <w:rFonts w:ascii="黑体" w:eastAsia="黑体" w:hAnsi="黑体" w:cs="黑体" w:hint="eastAsia"/>
          <w:sz w:val="24"/>
          <w:szCs w:val="24"/>
        </w:rPr>
        <w:t>等量的物化劳动。其原因在于发达国家创造了更高的劳动生产率，使得他们生产商品的劳动耗费比落后国家少得多。此外，由于垄断的存在，使得这种等价</w:t>
      </w:r>
      <w:proofErr w:type="gramStart"/>
      <w:r>
        <w:rPr>
          <w:rFonts w:ascii="黑体" w:eastAsia="黑体" w:hAnsi="黑体" w:cs="黑体" w:hint="eastAsia"/>
          <w:sz w:val="24"/>
          <w:szCs w:val="24"/>
        </w:rPr>
        <w:t>不</w:t>
      </w:r>
      <w:proofErr w:type="gramEnd"/>
      <w:r>
        <w:rPr>
          <w:rFonts w:ascii="黑体" w:eastAsia="黑体" w:hAnsi="黑体" w:cs="黑体" w:hint="eastAsia"/>
          <w:sz w:val="24"/>
          <w:szCs w:val="24"/>
        </w:rPr>
        <w:t>等量的不平等交换成为一种必然。</w:t>
      </w:r>
    </w:p>
    <w:p w:rsidR="004573F4" w:rsidRDefault="004573F4" w:rsidP="004573F4">
      <w:pPr>
        <w:rPr>
          <w:rFonts w:ascii="黑体" w:eastAsia="黑体" w:hAnsi="黑体" w:cs="黑体"/>
          <w:sz w:val="24"/>
        </w:rPr>
      </w:pPr>
      <w:r>
        <w:rPr>
          <w:rFonts w:ascii="黑体" w:eastAsia="黑体" w:hAnsi="黑体" w:cs="黑体" w:hint="eastAsia"/>
          <w:sz w:val="24"/>
          <w:szCs w:val="24"/>
        </w:rPr>
        <w:t>2.技术国际流动的主要方式有哪些？    </w:t>
      </w:r>
    </w:p>
    <w:p w:rsidR="004573F4" w:rsidRDefault="004573F4" w:rsidP="004573F4">
      <w:pPr>
        <w:rPr>
          <w:rFonts w:ascii="黑体" w:eastAsia="黑体" w:hAnsi="黑体" w:cs="黑体"/>
          <w:sz w:val="24"/>
        </w:rPr>
      </w:pPr>
      <w:r>
        <w:rPr>
          <w:rFonts w:ascii="黑体" w:eastAsia="黑体" w:hAnsi="黑体" w:cs="黑体" w:hint="eastAsia"/>
          <w:sz w:val="24"/>
          <w:szCs w:val="24"/>
        </w:rPr>
        <w:t>（1）许可证贸易，即技术许可方将其交易标的使用权通过许可证协议或合同转让给技术接受方的一种贸易方式。许可证贸易按其贸易协议所授权的范围，可分为独占许可、非独占许可和互换许可三种。   </w:t>
      </w:r>
    </w:p>
    <w:p w:rsidR="004573F4" w:rsidRDefault="004573F4" w:rsidP="004573F4">
      <w:pPr>
        <w:rPr>
          <w:rFonts w:ascii="黑体" w:eastAsia="黑体" w:hAnsi="黑体" w:cs="黑体"/>
          <w:sz w:val="24"/>
        </w:rPr>
      </w:pPr>
      <w:r>
        <w:rPr>
          <w:rFonts w:ascii="黑体" w:eastAsia="黑体" w:hAnsi="黑体" w:cs="黑体" w:hint="eastAsia"/>
          <w:sz w:val="24"/>
          <w:szCs w:val="24"/>
        </w:rPr>
        <w:t>（2）各种形式的技术援助。它常常是为达成一项交易的前期服务或已达成一项交易的后续服务。主要有工程咨询服务、管理咨询服务、销售服务、人员培训等 （3）合作生产，即两国或多国的企业根据共同签订的协议，共同生产某一产品的活动。</w:t>
      </w:r>
    </w:p>
    <w:p w:rsidR="005334CA" w:rsidRDefault="005334CA" w:rsidP="005334CA">
      <w:pPr>
        <w:rPr>
          <w:rFonts w:ascii="黑体" w:eastAsia="黑体" w:hAnsi="黑体" w:cs="黑体"/>
          <w:sz w:val="24"/>
        </w:rPr>
      </w:pPr>
    </w:p>
    <w:p w:rsidR="004573F4" w:rsidRDefault="00FE3922" w:rsidP="005334CA">
      <w:pPr>
        <w:rPr>
          <w:rFonts w:ascii="黑体" w:eastAsia="黑体" w:hAnsi="黑体" w:cs="黑体"/>
          <w:sz w:val="24"/>
        </w:rPr>
      </w:pPr>
      <w:r>
        <w:rPr>
          <w:rFonts w:ascii="黑体" w:eastAsia="黑体" w:hAnsi="黑体" w:cs="黑体" w:hint="eastAsia"/>
          <w:sz w:val="24"/>
          <w:szCs w:val="24"/>
        </w:rPr>
        <w:t>二</w:t>
      </w:r>
      <w:r>
        <w:rPr>
          <w:rFonts w:ascii="黑体" w:eastAsia="黑体" w:hAnsi="黑体" w:cs="黑体"/>
          <w:sz w:val="24"/>
          <w:szCs w:val="24"/>
        </w:rPr>
        <w:t>、</w:t>
      </w:r>
      <w:bookmarkStart w:id="0" w:name="_GoBack"/>
      <w:bookmarkEnd w:id="0"/>
      <w:r w:rsidR="004573F4">
        <w:rPr>
          <w:rFonts w:ascii="黑体" w:eastAsia="黑体" w:hAnsi="黑体" w:cs="黑体" w:hint="eastAsia"/>
          <w:sz w:val="24"/>
          <w:szCs w:val="24"/>
        </w:rPr>
        <w:t>论述题</w:t>
      </w:r>
    </w:p>
    <w:p w:rsidR="004573F4" w:rsidRDefault="004573F4" w:rsidP="004573F4">
      <w:pPr>
        <w:rPr>
          <w:rFonts w:ascii="黑体" w:eastAsia="黑体" w:hAnsi="黑体" w:cs="黑体"/>
          <w:sz w:val="24"/>
        </w:rPr>
      </w:pPr>
      <w:r>
        <w:rPr>
          <w:rFonts w:ascii="黑体" w:eastAsia="黑体" w:hAnsi="黑体" w:cs="黑体" w:hint="eastAsia"/>
          <w:sz w:val="24"/>
          <w:szCs w:val="24"/>
        </w:rPr>
        <w:t>1．当代国际货币体系存在的主要问题是什么？ </w:t>
      </w:r>
    </w:p>
    <w:p w:rsidR="004573F4" w:rsidRDefault="004573F4" w:rsidP="004573F4">
      <w:pPr>
        <w:rPr>
          <w:rFonts w:ascii="黑体" w:eastAsia="黑体" w:hAnsi="黑体" w:cs="黑体"/>
          <w:sz w:val="24"/>
        </w:rPr>
      </w:pPr>
      <w:r>
        <w:rPr>
          <w:rFonts w:ascii="黑体" w:eastAsia="黑体" w:hAnsi="黑体" w:cs="黑体" w:hint="eastAsia"/>
          <w:sz w:val="24"/>
          <w:szCs w:val="24"/>
        </w:rPr>
        <w:t>（1）现行国际货币体系所遵循的基本原则与金融自由化的矛盾。伴随着发达国家推行的金融自由化政策，拉丁美洲、亚洲越来越多的发展中国家在90年代逐渐实现了经常项目和资本项目的自由兑换。在这个过程中，出现了如国际金融投机猖獗、货币危机和银行信用危机频繁爆发等一系列问题。但现行的国际货币基金组织直到1997年亚洲金融危机爆发前，仍然将主要目标放在货币自由兑换和</w:t>
      </w:r>
      <w:r>
        <w:rPr>
          <w:rFonts w:ascii="黑体" w:eastAsia="黑体" w:hAnsi="黑体" w:cs="黑体" w:hint="eastAsia"/>
          <w:sz w:val="24"/>
          <w:szCs w:val="24"/>
        </w:rPr>
        <w:lastRenderedPageBreak/>
        <w:t>资本项目自由化上，对上述金融问题未予重视。这种矛盾反映了现行货币体系已不能适应金融全球化的新形势。</w:t>
      </w:r>
    </w:p>
    <w:p w:rsidR="004573F4" w:rsidRDefault="004573F4" w:rsidP="004573F4">
      <w:pPr>
        <w:rPr>
          <w:rFonts w:ascii="黑体" w:eastAsia="黑体" w:hAnsi="黑体" w:cs="黑体"/>
          <w:sz w:val="24"/>
        </w:rPr>
      </w:pPr>
      <w:r>
        <w:rPr>
          <w:rFonts w:ascii="黑体" w:eastAsia="黑体" w:hAnsi="黑体" w:cs="黑体" w:hint="eastAsia"/>
          <w:sz w:val="24"/>
          <w:szCs w:val="24"/>
        </w:rPr>
        <w:t>（2）现行国际货币体系的汇率制度安排与金融全球化的矛盾。全球金融市场的不断开放，使资金在全球流动的规模不断扩大。外汇交易已基本脱离了与贸易和直接投资相关的经济活动，而在这种趋势下，汇率的变动经常与一</w:t>
      </w:r>
      <w:proofErr w:type="gramStart"/>
      <w:r>
        <w:rPr>
          <w:rFonts w:ascii="黑体" w:eastAsia="黑体" w:hAnsi="黑体" w:cs="黑体" w:hint="eastAsia"/>
          <w:sz w:val="24"/>
          <w:szCs w:val="24"/>
        </w:rPr>
        <w:t>国基本</w:t>
      </w:r>
      <w:proofErr w:type="gramEnd"/>
      <w:r>
        <w:rPr>
          <w:rFonts w:ascii="黑体" w:eastAsia="黑体" w:hAnsi="黑体" w:cs="黑体" w:hint="eastAsia"/>
          <w:sz w:val="24"/>
          <w:szCs w:val="24"/>
        </w:rPr>
        <w:t>经济状况脱节，与一国贸易和经常项目变化不相关。但是，现行国际货币体系未能适应这种变化，结果导致汇率无规则的大幅度动荡和货币危机的频繁爆发。</w:t>
      </w:r>
    </w:p>
    <w:p w:rsidR="004573F4" w:rsidRDefault="004573F4" w:rsidP="004573F4">
      <w:pPr>
        <w:rPr>
          <w:rFonts w:ascii="黑体" w:eastAsia="黑体" w:hAnsi="黑体" w:cs="黑体"/>
          <w:sz w:val="24"/>
        </w:rPr>
      </w:pPr>
      <w:r>
        <w:rPr>
          <w:rFonts w:ascii="黑体" w:eastAsia="黑体" w:hAnsi="黑体" w:cs="黑体" w:hint="eastAsia"/>
          <w:sz w:val="24"/>
          <w:szCs w:val="24"/>
        </w:rPr>
        <w:t>（3）现行的国际货币体系缺乏国际最终贷款者的功能。中央银行作为一国国内的最终贷款者可以有效地减少因局部资金周转不灵引起整个金融体系危机的可能性，但现行国际货币体系尚未做好这样的准备，也缺乏相应的制度安排，其载体IMF不仅在防范危机上无能为力，而且在危机发生后提供资金援助，缓解危机时也显得捉襟见肘。</w:t>
      </w:r>
    </w:p>
    <w:p w:rsidR="004573F4" w:rsidRDefault="004573F4" w:rsidP="004573F4">
      <w:pPr>
        <w:rPr>
          <w:rFonts w:ascii="黑体" w:eastAsia="黑体" w:hAnsi="黑体" w:cs="黑体"/>
          <w:sz w:val="24"/>
        </w:rPr>
      </w:pPr>
      <w:r>
        <w:rPr>
          <w:rFonts w:ascii="黑体" w:eastAsia="黑体" w:hAnsi="黑体" w:cs="黑体" w:hint="eastAsia"/>
          <w:sz w:val="24"/>
          <w:szCs w:val="24"/>
        </w:rPr>
        <w:t>（4）金融自由化使国际货币基金组织的职能发生异化。目前的货币体系确立了多元化的储备货币格局和浮动汇率制，也就意味着IMF放弃了维持固定汇率及协助成员国干预汇率提供资金援助的责任和义务。在监督成员国国际收支状况、帮助逆差国调节国际收支问题上，IMF也同样不再负有义务。</w:t>
      </w:r>
    </w:p>
    <w:p w:rsidR="004573F4" w:rsidRDefault="004573F4" w:rsidP="004573F4">
      <w:pPr>
        <w:rPr>
          <w:rFonts w:ascii="黑体" w:eastAsia="黑体" w:hAnsi="黑体" w:cs="黑体"/>
          <w:sz w:val="24"/>
        </w:rPr>
      </w:pPr>
      <w:r>
        <w:rPr>
          <w:rFonts w:ascii="黑体" w:eastAsia="黑体" w:hAnsi="黑体" w:cs="黑体" w:hint="eastAsia"/>
          <w:sz w:val="24"/>
          <w:szCs w:val="24"/>
        </w:rPr>
        <w:t>2.试述战后世界经济格局的特点？</w:t>
      </w:r>
      <w:r>
        <w:rPr>
          <w:rFonts w:ascii="黑体" w:eastAsia="黑体" w:hAnsi="黑体" w:cs="黑体" w:hint="eastAsia"/>
          <w:sz w:val="24"/>
          <w:szCs w:val="24"/>
        </w:rPr>
        <w:t> </w:t>
      </w:r>
    </w:p>
    <w:p w:rsidR="004573F4" w:rsidRDefault="004573F4" w:rsidP="004573F4">
      <w:pPr>
        <w:rPr>
          <w:rFonts w:ascii="黑体" w:eastAsia="黑体" w:hAnsi="黑体" w:cs="黑体"/>
          <w:sz w:val="24"/>
        </w:rPr>
      </w:pPr>
      <w:r>
        <w:rPr>
          <w:rFonts w:ascii="黑体" w:eastAsia="黑体" w:hAnsi="黑体" w:cs="黑体" w:hint="eastAsia"/>
          <w:sz w:val="24"/>
          <w:szCs w:val="24"/>
        </w:rPr>
        <w:t>（1）各国经济实力的变化促使世界经济重构。美国经济霸权地位逐步走向相对衰落，世界经济呈现出新的多极化趋势。20世纪60年代西欧经济恢复，重新成为可以同美国相抗衡的另一世界资本积累中心。东亚地区经济迅速崛起。</w:t>
      </w:r>
    </w:p>
    <w:p w:rsidR="004573F4" w:rsidRDefault="004573F4" w:rsidP="004573F4">
      <w:pPr>
        <w:rPr>
          <w:rFonts w:ascii="黑体" w:eastAsia="黑体" w:hAnsi="黑体" w:cs="黑体"/>
          <w:sz w:val="24"/>
        </w:rPr>
      </w:pPr>
      <w:r>
        <w:rPr>
          <w:rFonts w:ascii="黑体" w:eastAsia="黑体" w:hAnsi="黑体" w:cs="黑体" w:hint="eastAsia"/>
          <w:sz w:val="24"/>
          <w:szCs w:val="24"/>
        </w:rPr>
        <w:t>（2）世界经济主导力量发生变化。重要的制度变革和技术变革，往往导致世界经济体系内部力量结构的变化。20世纪80年代末的世界是按意识形态来划分的，目前的世界从某种意义上说，则是由技术来划分的。美国、西欧和日本虽然仅占全球人口的15%，但却提供着世界几乎全部的技术创新。</w:t>
      </w:r>
    </w:p>
    <w:p w:rsidR="004573F4" w:rsidRDefault="004573F4" w:rsidP="004573F4">
      <w:pPr>
        <w:rPr>
          <w:rFonts w:ascii="黑体" w:eastAsia="黑体" w:hAnsi="黑体" w:cs="黑体"/>
          <w:sz w:val="24"/>
        </w:rPr>
      </w:pPr>
      <w:r>
        <w:rPr>
          <w:rFonts w:ascii="黑体" w:eastAsia="黑体" w:hAnsi="黑体" w:cs="黑体" w:hint="eastAsia"/>
          <w:sz w:val="24"/>
          <w:szCs w:val="24"/>
        </w:rPr>
        <w:t>（3）经济体制对世界经济格局的影响日益减少。二战后形成的两大对立的阵营，即以苏联为首的社会主义阵营和以美国为首的资本主义阵营将世界市场割裂开来。这种情况在90年初不复存在，经济体制对世界经济的影响越来越小。</w:t>
      </w:r>
    </w:p>
    <w:p w:rsidR="004573F4" w:rsidRDefault="004573F4" w:rsidP="004573F4">
      <w:pPr>
        <w:rPr>
          <w:rFonts w:ascii="黑体" w:eastAsia="黑体" w:hAnsi="黑体" w:cs="黑体"/>
          <w:sz w:val="24"/>
        </w:rPr>
      </w:pPr>
      <w:r>
        <w:rPr>
          <w:rFonts w:ascii="黑体" w:eastAsia="黑体" w:hAnsi="黑体" w:cs="黑体" w:hint="eastAsia"/>
          <w:sz w:val="24"/>
          <w:szCs w:val="24"/>
        </w:rPr>
        <w:t>（4）“</w:t>
      </w:r>
      <w:proofErr w:type="gramStart"/>
      <w:r>
        <w:rPr>
          <w:rFonts w:ascii="黑体" w:eastAsia="黑体" w:hAnsi="黑体" w:cs="黑体" w:hint="eastAsia"/>
          <w:sz w:val="24"/>
          <w:szCs w:val="24"/>
        </w:rPr>
        <w:t>一</w:t>
      </w:r>
      <w:proofErr w:type="gramEnd"/>
      <w:r>
        <w:rPr>
          <w:rFonts w:ascii="黑体" w:eastAsia="黑体" w:hAnsi="黑体" w:cs="黑体" w:hint="eastAsia"/>
          <w:sz w:val="24"/>
          <w:szCs w:val="24"/>
        </w:rPr>
        <w:t>超多强”格局的形成使各国的利益关系日益复杂。在“</w:t>
      </w:r>
      <w:proofErr w:type="gramStart"/>
      <w:r>
        <w:rPr>
          <w:rFonts w:ascii="黑体" w:eastAsia="黑体" w:hAnsi="黑体" w:cs="黑体" w:hint="eastAsia"/>
          <w:sz w:val="24"/>
          <w:szCs w:val="24"/>
        </w:rPr>
        <w:t>一</w:t>
      </w:r>
      <w:proofErr w:type="gramEnd"/>
      <w:r>
        <w:rPr>
          <w:rFonts w:ascii="黑体" w:eastAsia="黑体" w:hAnsi="黑体" w:cs="黑体" w:hint="eastAsia"/>
          <w:sz w:val="24"/>
          <w:szCs w:val="24"/>
        </w:rPr>
        <w:t>超多强”的格局下，国家间经济竞争和利益冲突越来越激烈。发达的资本主义国家为缓解国内积累的许多经济问题和社会问题越来越重视国际市场，并希望能在国内经济环境恶化时将危机转嫁出去，于是在各国相互依赖程度不断加深的同时，各种利益纠葛和摩擦也逐渐增多。</w:t>
      </w:r>
    </w:p>
    <w:p w:rsidR="004573F4" w:rsidRDefault="004573F4"/>
    <w:p w:rsidR="005334CA" w:rsidRDefault="005334CA"/>
    <w:p w:rsidR="005334CA" w:rsidRDefault="005334CA"/>
    <w:p w:rsidR="005334CA" w:rsidRDefault="005334CA"/>
    <w:p w:rsidR="005334CA" w:rsidRDefault="005334CA"/>
    <w:p w:rsidR="005334CA" w:rsidRDefault="005334CA"/>
    <w:p w:rsidR="005334CA" w:rsidRDefault="005334CA"/>
    <w:p w:rsidR="005334CA" w:rsidRDefault="005334CA"/>
    <w:p w:rsidR="005334CA" w:rsidRDefault="005334CA"/>
    <w:p w:rsidR="005334CA" w:rsidRDefault="005334CA"/>
    <w:p w:rsidR="005334CA" w:rsidRDefault="005334CA"/>
    <w:p w:rsidR="005334CA" w:rsidRDefault="005334CA"/>
    <w:p w:rsidR="004573F4" w:rsidRPr="004573F4" w:rsidRDefault="004573F4" w:rsidP="004573F4">
      <w:pPr>
        <w:jc w:val="center"/>
        <w:rPr>
          <w:rFonts w:ascii="黑体" w:eastAsia="黑体"/>
          <w:b/>
          <w:bCs/>
          <w:sz w:val="32"/>
        </w:rPr>
      </w:pPr>
      <w:r w:rsidRPr="004573F4">
        <w:rPr>
          <w:rFonts w:ascii="黑体" w:eastAsia="黑体" w:hint="eastAsia"/>
          <w:b/>
          <w:bCs/>
          <w:sz w:val="32"/>
        </w:rPr>
        <w:lastRenderedPageBreak/>
        <w:t>世界经济学     复习资料3</w:t>
      </w:r>
    </w:p>
    <w:p w:rsidR="004573F4" w:rsidRDefault="00783780" w:rsidP="004573F4">
      <w:pPr>
        <w:pStyle w:val="a3"/>
        <w:adjustRightInd w:val="0"/>
        <w:snapToGrid w:val="0"/>
        <w:spacing w:before="0" w:beforeAutospacing="0" w:after="0" w:afterAutospacing="0" w:line="460" w:lineRule="exact"/>
        <w:rPr>
          <w:rFonts w:ascii="黑体" w:eastAsia="黑体" w:hAnsi="黑体"/>
        </w:rPr>
      </w:pPr>
      <w:r>
        <w:rPr>
          <w:rFonts w:ascii="黑体" w:eastAsia="黑体" w:hAnsi="黑体" w:hint="eastAsia"/>
        </w:rPr>
        <w:t>一、名词解释</w:t>
      </w:r>
    </w:p>
    <w:p w:rsidR="004573F4" w:rsidRDefault="004573F4" w:rsidP="004573F4">
      <w:pPr>
        <w:pStyle w:val="a3"/>
        <w:adjustRightInd w:val="0"/>
        <w:snapToGrid w:val="0"/>
        <w:spacing w:before="0" w:beforeAutospacing="0" w:after="0" w:afterAutospacing="0" w:line="460" w:lineRule="exact"/>
        <w:rPr>
          <w:rFonts w:ascii="黑体" w:eastAsia="黑体" w:hAnsi="黑体"/>
        </w:rPr>
      </w:pPr>
      <w:r>
        <w:rPr>
          <w:rFonts w:ascii="黑体" w:eastAsia="黑体" w:hAnsi="黑体" w:hint="eastAsia"/>
        </w:rPr>
        <w:t>1.贸易乘数  2.知识经济  3.米德冲突 4.模仿滞后    5.国际避税       </w:t>
      </w:r>
    </w:p>
    <w:p w:rsidR="004573F4" w:rsidRDefault="004573F4" w:rsidP="004573F4">
      <w:pPr>
        <w:pStyle w:val="a3"/>
        <w:adjustRightInd w:val="0"/>
        <w:snapToGrid w:val="0"/>
        <w:spacing w:before="0" w:beforeAutospacing="0" w:after="0" w:afterAutospacing="0" w:line="460" w:lineRule="exact"/>
        <w:rPr>
          <w:rFonts w:ascii="黑体" w:eastAsia="黑体" w:hAnsi="黑体"/>
        </w:rPr>
      </w:pPr>
      <w:r>
        <w:rPr>
          <w:rFonts w:ascii="黑体" w:eastAsia="黑体" w:hAnsi="黑体" w:hint="eastAsia"/>
        </w:rPr>
        <w:t>二、简答题</w:t>
      </w:r>
    </w:p>
    <w:p w:rsidR="004573F4" w:rsidRDefault="004573F4" w:rsidP="004573F4">
      <w:pPr>
        <w:pStyle w:val="a3"/>
        <w:adjustRightInd w:val="0"/>
        <w:snapToGrid w:val="0"/>
        <w:spacing w:before="0" w:beforeAutospacing="0" w:after="0" w:afterAutospacing="0" w:line="460" w:lineRule="exact"/>
        <w:rPr>
          <w:rFonts w:ascii="黑体" w:eastAsia="黑体" w:hAnsi="黑体"/>
        </w:rPr>
      </w:pPr>
      <w:r>
        <w:rPr>
          <w:rFonts w:ascii="黑体" w:eastAsia="黑体" w:hAnsi="黑体" w:hint="eastAsia"/>
        </w:rPr>
        <w:t>1.</w:t>
      </w:r>
      <w:r w:rsidR="00783780">
        <w:rPr>
          <w:rFonts w:ascii="黑体" w:eastAsia="黑体" w:hAnsi="黑体" w:hint="eastAsia"/>
        </w:rPr>
        <w:t>画图说明</w:t>
      </w:r>
      <w:proofErr w:type="gramStart"/>
      <w:r w:rsidR="00783780">
        <w:rPr>
          <w:rFonts w:ascii="黑体" w:eastAsia="黑体" w:hAnsi="黑体" w:hint="eastAsia"/>
        </w:rPr>
        <w:t>曼</w:t>
      </w:r>
      <w:proofErr w:type="gramEnd"/>
      <w:r w:rsidR="00783780">
        <w:rPr>
          <w:rFonts w:ascii="黑体" w:eastAsia="黑体" w:hAnsi="黑体" w:hint="eastAsia"/>
        </w:rPr>
        <w:t>德尔的内外均衡过程及政策搭配论。</w:t>
      </w:r>
    </w:p>
    <w:p w:rsidR="004573F4" w:rsidRDefault="004573F4" w:rsidP="004573F4">
      <w:pPr>
        <w:pStyle w:val="a3"/>
        <w:adjustRightInd w:val="0"/>
        <w:snapToGrid w:val="0"/>
        <w:spacing w:before="0" w:beforeAutospacing="0" w:after="0" w:afterAutospacing="0" w:line="460" w:lineRule="exact"/>
        <w:rPr>
          <w:rFonts w:ascii="黑体" w:eastAsia="黑体" w:hAnsi="黑体"/>
        </w:rPr>
      </w:pPr>
      <w:r>
        <w:rPr>
          <w:rFonts w:ascii="黑体" w:eastAsia="黑体" w:hAnsi="黑体" w:hint="eastAsia"/>
        </w:rPr>
        <w:t>2.</w:t>
      </w:r>
      <w:r w:rsidR="00783780">
        <w:rPr>
          <w:rFonts w:ascii="黑体" w:eastAsia="黑体" w:hAnsi="黑体" w:hint="eastAsia"/>
        </w:rPr>
        <w:t>简述固定汇率制与联系汇率制的异同。</w:t>
      </w:r>
      <w:r>
        <w:rPr>
          <w:rFonts w:ascii="黑体" w:eastAsia="黑体" w:hAnsi="黑体" w:hint="eastAsia"/>
        </w:rPr>
        <w:t> </w:t>
      </w:r>
    </w:p>
    <w:p w:rsidR="004573F4" w:rsidRDefault="00783780" w:rsidP="004573F4">
      <w:pPr>
        <w:pStyle w:val="a3"/>
        <w:adjustRightInd w:val="0"/>
        <w:snapToGrid w:val="0"/>
        <w:spacing w:before="0" w:beforeAutospacing="0" w:after="0" w:afterAutospacing="0" w:line="460" w:lineRule="exact"/>
        <w:rPr>
          <w:rFonts w:ascii="黑体" w:eastAsia="黑体" w:hAnsi="黑体"/>
        </w:rPr>
      </w:pPr>
      <w:r>
        <w:rPr>
          <w:rFonts w:ascii="黑体" w:eastAsia="黑体" w:hAnsi="黑体" w:hint="eastAsia"/>
        </w:rPr>
        <w:t>三、论述题</w:t>
      </w:r>
      <w:r w:rsidR="004573F4">
        <w:rPr>
          <w:rFonts w:ascii="黑体" w:eastAsia="黑体" w:hAnsi="黑体" w:hint="eastAsia"/>
        </w:rPr>
        <w:t> </w:t>
      </w:r>
    </w:p>
    <w:p w:rsidR="004573F4" w:rsidRDefault="004573F4" w:rsidP="004573F4">
      <w:pPr>
        <w:pStyle w:val="a3"/>
        <w:adjustRightInd w:val="0"/>
        <w:snapToGrid w:val="0"/>
        <w:spacing w:before="0" w:beforeAutospacing="0" w:after="0" w:afterAutospacing="0" w:line="460" w:lineRule="exact"/>
        <w:rPr>
          <w:rFonts w:ascii="黑体" w:eastAsia="黑体" w:hAnsi="黑体"/>
        </w:rPr>
      </w:pPr>
      <w:r>
        <w:rPr>
          <w:rFonts w:ascii="黑体" w:eastAsia="黑体" w:hAnsi="黑体" w:hint="eastAsia"/>
        </w:rPr>
        <w:t>1.国际收支调节政策的主要内容。 </w:t>
      </w:r>
    </w:p>
    <w:p w:rsidR="004573F4" w:rsidRDefault="004573F4" w:rsidP="004573F4">
      <w:pPr>
        <w:jc w:val="center"/>
      </w:pPr>
      <w:r>
        <w:rPr>
          <w:rFonts w:ascii="黑体" w:eastAsia="黑体" w:hAnsi="黑体" w:cs="黑体" w:hint="eastAsia"/>
          <w:sz w:val="30"/>
          <w:szCs w:val="30"/>
        </w:rPr>
        <w:t>参考答案</w:t>
      </w:r>
    </w:p>
    <w:p w:rsidR="004573F4" w:rsidRDefault="00783780" w:rsidP="004573F4">
      <w:r>
        <w:rPr>
          <w:rFonts w:hint="eastAsia"/>
        </w:rPr>
        <w:t>一、名词解释</w:t>
      </w:r>
    </w:p>
    <w:p w:rsidR="004573F4" w:rsidRDefault="004573F4" w:rsidP="004573F4">
      <w:r>
        <w:rPr>
          <w:rFonts w:hint="eastAsia"/>
        </w:rPr>
        <w:t>1.</w:t>
      </w:r>
      <w:r>
        <w:rPr>
          <w:rFonts w:hint="eastAsia"/>
        </w:rPr>
        <w:t>贸易乘数：指乘数理论在对外贸易研究中的作用，探讨对外贸易与国民收入和就业之间的关系。在贸易乘数公式中，它是边际储蓄倾向与边际进口倾向的和的倒数。贸易乘数原理主要分析在边际储蓄倾向和边际进口倾向之和小于</w:t>
      </w:r>
      <w:r>
        <w:rPr>
          <w:rFonts w:hint="eastAsia"/>
        </w:rPr>
        <w:t>1</w:t>
      </w:r>
      <w:r>
        <w:rPr>
          <w:rFonts w:hint="eastAsia"/>
        </w:rPr>
        <w:t>的条件下，增加出口有利于提高有效需求，增加国民收入和就业量。这是因为出口增加可以刺激出口工业，相应的刺激与出口相关的工业的增长。 </w:t>
      </w:r>
    </w:p>
    <w:p w:rsidR="004573F4" w:rsidRDefault="004573F4" w:rsidP="004573F4">
      <w:r>
        <w:rPr>
          <w:rFonts w:hint="eastAsia"/>
        </w:rPr>
        <w:t>2.</w:t>
      </w:r>
      <w:r>
        <w:rPr>
          <w:rFonts w:hint="eastAsia"/>
        </w:rPr>
        <w:t>知识经济：通俗地说就是“以知识为基础的经济”，从内涵来看，知识经济是经济增长直接依赖于知识和信息的生产、传播和使用，它以高技术产业为第一产业支柱，以智力资源为首要依托，是可持续发展的经济。按照世界经合组织的说法，知识经济就是以现代科学技术为核心的，建立在知识和信息的生产、存储、使用和消费之上的经济。 </w:t>
      </w:r>
    </w:p>
    <w:p w:rsidR="004573F4" w:rsidRDefault="004573F4" w:rsidP="004573F4">
      <w:r>
        <w:rPr>
          <w:rFonts w:hint="eastAsia"/>
        </w:rPr>
        <w:t>3.</w:t>
      </w:r>
      <w:r>
        <w:rPr>
          <w:rFonts w:hint="eastAsia"/>
        </w:rPr>
        <w:t>米德冲突：指由英国经济学家詹姆斯·米德于</w:t>
      </w:r>
      <w:r>
        <w:rPr>
          <w:rFonts w:hint="eastAsia"/>
        </w:rPr>
        <w:t>1951</w:t>
      </w:r>
      <w:r>
        <w:rPr>
          <w:rFonts w:hint="eastAsia"/>
        </w:rPr>
        <w:t>年提出的在固定汇率制下的内外均衡冲突问题。他指出，在汇率固定不变时，政府只能主要运用影响社会总需求的政策来调节内外均衡。这样在开放经济运行的特定区间，便会出现内外均衡难以兼顾的情形。  </w:t>
      </w:r>
    </w:p>
    <w:p w:rsidR="004573F4" w:rsidRDefault="004573F4" w:rsidP="004573F4">
      <w:r>
        <w:rPr>
          <w:rFonts w:hint="eastAsia"/>
        </w:rPr>
        <w:t>4.</w:t>
      </w:r>
      <w:r>
        <w:rPr>
          <w:rFonts w:hint="eastAsia"/>
        </w:rPr>
        <w:t>模仿滞后：指当一种新技术用于生产制造出一种新产品或质量大大优于现有产品的</w:t>
      </w:r>
    </w:p>
    <w:p w:rsidR="004573F4" w:rsidRDefault="004573F4" w:rsidP="004573F4">
      <w:r>
        <w:rPr>
          <w:rFonts w:hint="eastAsia"/>
        </w:rPr>
        <w:t>新产品时，发明国便处于具有绝对优势的地位。这种优势会一直持续到技术模仿使技术差距消失。</w:t>
      </w:r>
    </w:p>
    <w:p w:rsidR="004573F4" w:rsidRDefault="004573F4" w:rsidP="004573F4">
      <w:pPr>
        <w:numPr>
          <w:ilvl w:val="0"/>
          <w:numId w:val="19"/>
        </w:numPr>
      </w:pPr>
      <w:r>
        <w:rPr>
          <w:rFonts w:hint="eastAsia"/>
        </w:rPr>
        <w:t>国际避税</w:t>
      </w:r>
      <w:r>
        <w:rPr>
          <w:rFonts w:hint="eastAsia"/>
        </w:rPr>
        <w:t>:</w:t>
      </w:r>
      <w:r>
        <w:rPr>
          <w:rFonts w:hint="eastAsia"/>
        </w:rPr>
        <w:t> 国际避税是指跨国应纳税人以合法的方式，利用各国税收法规的漏洞和差异或利用国际税收协定中的缺陷，通过变更其经营地点、经营方式以及人和财产</w:t>
      </w:r>
      <w:proofErr w:type="gramStart"/>
      <w:r>
        <w:rPr>
          <w:rFonts w:hint="eastAsia"/>
        </w:rPr>
        <w:t>跨越税境</w:t>
      </w:r>
      <w:proofErr w:type="gramEnd"/>
      <w:r>
        <w:rPr>
          <w:rFonts w:hint="eastAsia"/>
        </w:rPr>
        <w:t>的流动、非流动等方法来谋求最大限度地减轻或规避税收负担的行为。上述概念中，“税境”，是指税收管辖权的界限，它不像国境那样，在地理位置上能够找到一个明显的界线或标志。由于各国执行的税收原则和政策不同，有时可能会</w:t>
      </w:r>
      <w:proofErr w:type="gramStart"/>
      <w:r>
        <w:rPr>
          <w:rFonts w:hint="eastAsia"/>
        </w:rPr>
        <w:t>出现税境</w:t>
      </w:r>
      <w:proofErr w:type="gramEnd"/>
      <w:r>
        <w:rPr>
          <w:rFonts w:hint="eastAsia"/>
        </w:rPr>
        <w:t>小于、等于或大于国境的不同情况。如果一国在国内设立完全免税的无税区，</w:t>
      </w:r>
      <w:proofErr w:type="gramStart"/>
      <w:r>
        <w:rPr>
          <w:rFonts w:hint="eastAsia"/>
        </w:rPr>
        <w:t>税境就</w:t>
      </w:r>
      <w:proofErr w:type="gramEnd"/>
      <w:r>
        <w:rPr>
          <w:rFonts w:hint="eastAsia"/>
        </w:rPr>
        <w:t>小于国境；如果一国坚持属地主义原则，</w:t>
      </w:r>
      <w:proofErr w:type="gramStart"/>
      <w:r>
        <w:rPr>
          <w:rFonts w:hint="eastAsia"/>
        </w:rPr>
        <w:t>税境就</w:t>
      </w:r>
      <w:proofErr w:type="gramEnd"/>
      <w:r>
        <w:rPr>
          <w:rFonts w:hint="eastAsia"/>
        </w:rPr>
        <w:t>等于国境；如果一国坚持属人主义原则，</w:t>
      </w:r>
      <w:proofErr w:type="gramStart"/>
      <w:r>
        <w:rPr>
          <w:rFonts w:hint="eastAsia"/>
        </w:rPr>
        <w:t>则税境</w:t>
      </w:r>
      <w:proofErr w:type="gramEnd"/>
      <w:r>
        <w:rPr>
          <w:rFonts w:hint="eastAsia"/>
        </w:rPr>
        <w:t>就大于国境。</w:t>
      </w:r>
    </w:p>
    <w:p w:rsidR="004573F4" w:rsidRDefault="00783780" w:rsidP="004573F4">
      <w:r>
        <w:rPr>
          <w:rFonts w:hint="eastAsia"/>
        </w:rPr>
        <w:t>二、简答题</w:t>
      </w:r>
    </w:p>
    <w:p w:rsidR="004573F4" w:rsidRDefault="004573F4" w:rsidP="004573F4">
      <w:r>
        <w:rPr>
          <w:rFonts w:hint="eastAsia"/>
        </w:rPr>
        <w:t>1.</w:t>
      </w:r>
      <w:r w:rsidR="00783780">
        <w:rPr>
          <w:rFonts w:hint="eastAsia"/>
        </w:rPr>
        <w:t>画图说明</w:t>
      </w:r>
      <w:proofErr w:type="gramStart"/>
      <w:r w:rsidR="00783780">
        <w:rPr>
          <w:rFonts w:hint="eastAsia"/>
        </w:rPr>
        <w:t>曼</w:t>
      </w:r>
      <w:proofErr w:type="gramEnd"/>
      <w:r w:rsidR="00783780">
        <w:rPr>
          <w:rFonts w:hint="eastAsia"/>
        </w:rPr>
        <w:t>德尔的内外均衡过程及政策搭配论。</w:t>
      </w:r>
    </w:p>
    <w:p w:rsidR="004573F4" w:rsidRDefault="004573F4" w:rsidP="004573F4">
      <w:r>
        <w:rPr>
          <w:rFonts w:hint="eastAsia"/>
        </w:rPr>
        <w:t>答：从经济学的角度，内外均衡之间从某种角度来看是存在矛盾的，</w:t>
      </w:r>
      <w:proofErr w:type="gramStart"/>
      <w:r>
        <w:rPr>
          <w:rFonts w:hint="eastAsia"/>
        </w:rPr>
        <w:t>曼</w:t>
      </w:r>
      <w:proofErr w:type="gramEnd"/>
      <w:r>
        <w:rPr>
          <w:rFonts w:hint="eastAsia"/>
        </w:rPr>
        <w:t>德尔提出了用财政政策和货币政策之间进行搭配来解决内部均衡和外部均衡之间的矛盾。</w:t>
      </w:r>
      <w:proofErr w:type="gramStart"/>
      <w:r>
        <w:rPr>
          <w:rFonts w:hint="eastAsia"/>
        </w:rPr>
        <w:t>现分析</w:t>
      </w:r>
      <w:proofErr w:type="gramEnd"/>
      <w:r>
        <w:rPr>
          <w:rFonts w:hint="eastAsia"/>
        </w:rPr>
        <w:t>如下：</w:t>
      </w:r>
    </w:p>
    <w:p w:rsidR="004573F4" w:rsidRDefault="004573F4" w:rsidP="004573F4">
      <w:r>
        <w:rPr>
          <w:rFonts w:hint="eastAsia"/>
          <w:noProof/>
        </w:rPr>
        <w:lastRenderedPageBreak/>
        <w:drawing>
          <wp:inline distT="0" distB="0" distL="114300" distR="114300" wp14:anchorId="5D8BE6EE" wp14:editId="5B271DEA">
            <wp:extent cx="5269230" cy="2919730"/>
            <wp:effectExtent l="0" t="0" r="1270" b="1270"/>
            <wp:docPr id="1" name="图片 1" descr="经济s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经济sds"/>
                    <pic:cNvPicPr>
                      <a:picLocks noChangeAspect="1"/>
                    </pic:cNvPicPr>
                  </pic:nvPicPr>
                  <pic:blipFill>
                    <a:blip r:embed="rId5"/>
                    <a:stretch>
                      <a:fillRect/>
                    </a:stretch>
                  </pic:blipFill>
                  <pic:spPr>
                    <a:xfrm>
                      <a:off x="0" y="0"/>
                      <a:ext cx="5269230" cy="2919730"/>
                    </a:xfrm>
                    <a:prstGeom prst="rect">
                      <a:avLst/>
                    </a:prstGeom>
                  </pic:spPr>
                </pic:pic>
              </a:graphicData>
            </a:graphic>
          </wp:inline>
        </w:drawing>
      </w:r>
    </w:p>
    <w:p w:rsidR="004573F4" w:rsidRDefault="004573F4" w:rsidP="004573F4">
      <w:proofErr w:type="gramStart"/>
      <w:r>
        <w:rPr>
          <w:rFonts w:hint="eastAsia"/>
        </w:rPr>
        <w:t>曼</w:t>
      </w:r>
      <w:proofErr w:type="gramEnd"/>
      <w:r>
        <w:rPr>
          <w:rFonts w:hint="eastAsia"/>
        </w:rPr>
        <w:t>德尔是用预算作为财政政策的代表（用横轴表示），以货币供给作为货币政策的代表（以纵轴表示），来讨论其搭配方法的（见上图所示）。 </w:t>
      </w:r>
    </w:p>
    <w:p w:rsidR="004573F4" w:rsidRDefault="004573F4" w:rsidP="004573F4">
      <w:r>
        <w:rPr>
          <w:rFonts w:hint="eastAsia"/>
        </w:rPr>
        <w:t>在财政与货币政策的搭配图中，</w:t>
      </w:r>
      <w:r>
        <w:rPr>
          <w:rFonts w:hint="eastAsia"/>
        </w:rPr>
        <w:t>IB</w:t>
      </w:r>
      <w:r>
        <w:rPr>
          <w:rFonts w:hint="eastAsia"/>
        </w:rPr>
        <w:t>曲线表示内部均衡，在这条线上国内经济达到均衡。在这条线的左边，国内经济处于衰退和失业；在这条线的右边，国内经济处于膨胀。</w:t>
      </w:r>
      <w:r>
        <w:rPr>
          <w:rFonts w:hint="eastAsia"/>
        </w:rPr>
        <w:t>EB</w:t>
      </w:r>
      <w:r>
        <w:rPr>
          <w:rFonts w:hint="eastAsia"/>
        </w:rPr>
        <w:t>曲线表示外部均衡，在这条线上，国际收支处于平衡。在这条线的上边，表示国际收支逆差，在这条线的下边，表示国际收支顺差。</w:t>
      </w:r>
      <w:proofErr w:type="gramStart"/>
      <w:r>
        <w:rPr>
          <w:rFonts w:hint="eastAsia"/>
        </w:rPr>
        <w:t>沿预算</w:t>
      </w:r>
      <w:proofErr w:type="gramEnd"/>
      <w:r>
        <w:rPr>
          <w:rFonts w:hint="eastAsia"/>
        </w:rPr>
        <w:t>曲线向右移动，表示财政政策的扩张、预算增加；向左移动，表示财政政策的紧缩、预算削减。</w:t>
      </w:r>
      <w:proofErr w:type="gramStart"/>
      <w:r>
        <w:rPr>
          <w:rFonts w:hint="eastAsia"/>
        </w:rPr>
        <w:t>沿货币</w:t>
      </w:r>
      <w:proofErr w:type="gramEnd"/>
      <w:r>
        <w:rPr>
          <w:rFonts w:hint="eastAsia"/>
        </w:rPr>
        <w:t>供给轴线向上移动，表示货币政策的扩张，银根放松；向下移动，表示货币政策紧缩，银根收紧。</w:t>
      </w:r>
      <w:r>
        <w:rPr>
          <w:rFonts w:hint="eastAsia"/>
        </w:rPr>
        <w:t>IB</w:t>
      </w:r>
      <w:r>
        <w:rPr>
          <w:rFonts w:hint="eastAsia"/>
        </w:rPr>
        <w:t>曲线和</w:t>
      </w:r>
      <w:r>
        <w:rPr>
          <w:rFonts w:hint="eastAsia"/>
        </w:rPr>
        <w:t>EB</w:t>
      </w:r>
      <w:r>
        <w:rPr>
          <w:rFonts w:hint="eastAsia"/>
        </w:rPr>
        <w:t>曲线的斜率都为负，表示当一种政策扩张时，为了达到内部均衡或外部均衡，另一种政策必须紧缩；或一种政策紧缩时，另一种政策必须扩张。</w:t>
      </w:r>
      <w:r>
        <w:rPr>
          <w:rFonts w:hint="eastAsia"/>
        </w:rPr>
        <w:t>IB</w:t>
      </w:r>
      <w:r>
        <w:rPr>
          <w:rFonts w:hint="eastAsia"/>
        </w:rPr>
        <w:t>曲线比</w:t>
      </w:r>
      <w:r>
        <w:rPr>
          <w:rFonts w:hint="eastAsia"/>
        </w:rPr>
        <w:t>EB</w:t>
      </w:r>
      <w:r>
        <w:rPr>
          <w:rFonts w:hint="eastAsia"/>
        </w:rPr>
        <w:t>曲线更为陡峭，是因为</w:t>
      </w:r>
      <w:proofErr w:type="gramStart"/>
      <w:r>
        <w:rPr>
          <w:rFonts w:hint="eastAsia"/>
        </w:rPr>
        <w:t>曼</w:t>
      </w:r>
      <w:proofErr w:type="gramEnd"/>
      <w:r>
        <w:rPr>
          <w:rFonts w:hint="eastAsia"/>
        </w:rPr>
        <w:t>德尔假定，向对而言，预算对国民收入、就业等国内经济变量影响较大，而货币供给则对国际收支影响较大。</w:t>
      </w:r>
    </w:p>
    <w:p w:rsidR="004573F4" w:rsidRDefault="004573F4" w:rsidP="004573F4">
      <w:r>
        <w:rPr>
          <w:rFonts w:hint="eastAsia"/>
        </w:rPr>
        <w:t>由此，我们可以得到如下几种搭配。</w:t>
      </w:r>
    </w:p>
    <w:p w:rsidR="004573F4" w:rsidRDefault="004573F4" w:rsidP="004573F4">
      <w:r>
        <w:rPr>
          <w:rFonts w:hint="eastAsia"/>
          <w:noProof/>
        </w:rPr>
        <w:drawing>
          <wp:inline distT="0" distB="0" distL="114300" distR="114300" wp14:anchorId="06B3719A" wp14:editId="2D19E163">
            <wp:extent cx="5269865" cy="1621790"/>
            <wp:effectExtent l="0" t="0" r="635" b="3810"/>
            <wp:docPr id="2" name="图片 2" descr="经济jj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经济jjh"/>
                    <pic:cNvPicPr>
                      <a:picLocks noChangeAspect="1"/>
                    </pic:cNvPicPr>
                  </pic:nvPicPr>
                  <pic:blipFill>
                    <a:blip r:embed="rId6"/>
                    <a:stretch>
                      <a:fillRect/>
                    </a:stretch>
                  </pic:blipFill>
                  <pic:spPr>
                    <a:xfrm>
                      <a:off x="0" y="0"/>
                      <a:ext cx="5269865" cy="1621790"/>
                    </a:xfrm>
                    <a:prstGeom prst="rect">
                      <a:avLst/>
                    </a:prstGeom>
                  </pic:spPr>
                </pic:pic>
              </a:graphicData>
            </a:graphic>
          </wp:inline>
        </w:drawing>
      </w:r>
    </w:p>
    <w:p w:rsidR="004573F4" w:rsidRDefault="004573F4" w:rsidP="004573F4">
      <w:pPr>
        <w:numPr>
          <w:ilvl w:val="0"/>
          <w:numId w:val="20"/>
        </w:numPr>
        <w:tabs>
          <w:tab w:val="clear" w:pos="312"/>
        </w:tabs>
      </w:pPr>
      <w:r>
        <w:rPr>
          <w:rFonts w:hint="eastAsia"/>
        </w:rPr>
        <w:t>简述固定汇率制与联系汇率制的异同。</w:t>
      </w:r>
    </w:p>
    <w:p w:rsidR="004573F4" w:rsidRDefault="004573F4" w:rsidP="004573F4">
      <w:r>
        <w:rPr>
          <w:rFonts w:hint="eastAsia"/>
        </w:rPr>
        <w:t>答：（</w:t>
      </w:r>
      <w:r>
        <w:rPr>
          <w:rFonts w:hint="eastAsia"/>
        </w:rPr>
        <w:t>1</w:t>
      </w:r>
      <w:r>
        <w:rPr>
          <w:rFonts w:hint="eastAsia"/>
        </w:rPr>
        <w:t>）固定汇率制（</w:t>
      </w:r>
      <w:r>
        <w:rPr>
          <w:rFonts w:hint="eastAsia"/>
        </w:rPr>
        <w:t>Fixed</w:t>
      </w:r>
      <w:r>
        <w:rPr>
          <w:rFonts w:hint="eastAsia"/>
        </w:rPr>
        <w:t> </w:t>
      </w:r>
      <w:r>
        <w:rPr>
          <w:rFonts w:hint="eastAsia"/>
        </w:rPr>
        <w:t>Rate</w:t>
      </w:r>
      <w:r>
        <w:rPr>
          <w:rFonts w:hint="eastAsia"/>
        </w:rPr>
        <w:t>）指两国的货币比价基本固定（如金币本位制时），并把两国外汇汇率的波动界限规定在一定的幅度之内。如在外汇市场上两国汇率的波动超过规定的幅度时，有关国家的货币当局有义务出来干涉维持。 </w:t>
      </w:r>
    </w:p>
    <w:p w:rsidR="004573F4" w:rsidRDefault="004573F4" w:rsidP="004573F4">
      <w:r>
        <w:rPr>
          <w:rFonts w:hint="eastAsia"/>
        </w:rPr>
        <w:t>联系汇率制（</w:t>
      </w:r>
      <w:r>
        <w:rPr>
          <w:rFonts w:hint="eastAsia"/>
        </w:rPr>
        <w:t>Linked</w:t>
      </w:r>
      <w:r>
        <w:rPr>
          <w:rFonts w:hint="eastAsia"/>
        </w:rPr>
        <w:t> </w:t>
      </w:r>
      <w:r>
        <w:rPr>
          <w:rFonts w:hint="eastAsia"/>
        </w:rPr>
        <w:t>Exchange</w:t>
      </w:r>
      <w:r>
        <w:rPr>
          <w:rFonts w:hint="eastAsia"/>
        </w:rPr>
        <w:t> </w:t>
      </w:r>
      <w:r>
        <w:rPr>
          <w:rFonts w:hint="eastAsia"/>
        </w:rPr>
        <w:t>Rate</w:t>
      </w:r>
      <w:r>
        <w:rPr>
          <w:rFonts w:hint="eastAsia"/>
        </w:rPr>
        <w:t> </w:t>
      </w:r>
      <w:r>
        <w:rPr>
          <w:rFonts w:hint="eastAsia"/>
        </w:rPr>
        <w:t>System</w:t>
      </w:r>
      <w:r>
        <w:rPr>
          <w:rFonts w:hint="eastAsia"/>
        </w:rPr>
        <w:t>）指香港自</w:t>
      </w:r>
      <w:r>
        <w:rPr>
          <w:rFonts w:hint="eastAsia"/>
        </w:rPr>
        <w:t>1983</w:t>
      </w:r>
      <w:r>
        <w:rPr>
          <w:rFonts w:hint="eastAsia"/>
        </w:rPr>
        <w:t>年以来实施的港元与美元相挂钩的发钞和汇率制度（简称“联汇制”）。</w:t>
      </w:r>
      <w:r>
        <w:rPr>
          <w:rFonts w:hint="eastAsia"/>
        </w:rPr>
        <w:t>1983</w:t>
      </w:r>
      <w:r>
        <w:rPr>
          <w:rFonts w:hint="eastAsia"/>
        </w:rPr>
        <w:t>年</w:t>
      </w:r>
      <w:r>
        <w:rPr>
          <w:rFonts w:hint="eastAsia"/>
        </w:rPr>
        <w:t>10</w:t>
      </w:r>
      <w:r>
        <w:rPr>
          <w:rFonts w:hint="eastAsia"/>
        </w:rPr>
        <w:t>月</w:t>
      </w:r>
      <w:r>
        <w:rPr>
          <w:rFonts w:hint="eastAsia"/>
        </w:rPr>
        <w:t>1</w:t>
      </w:r>
      <w:r>
        <w:rPr>
          <w:rFonts w:hint="eastAsia"/>
        </w:rPr>
        <w:t>日，为稳定港元汇率，香港政府宣布实现联系汇率制，取代了自</w:t>
      </w:r>
      <w:r>
        <w:rPr>
          <w:rFonts w:hint="eastAsia"/>
        </w:rPr>
        <w:t>1974</w:t>
      </w:r>
      <w:r>
        <w:rPr>
          <w:rFonts w:hint="eastAsia"/>
        </w:rPr>
        <w:t>年以来实行的浮动汇率制。这一汇率制度的运行机制中包括两个平行的外汇市场，即发钞行与外汇基金因发钞关系而形成的公开外汇市场和发钞</w:t>
      </w:r>
      <w:r>
        <w:rPr>
          <w:rFonts w:hint="eastAsia"/>
        </w:rPr>
        <w:lastRenderedPageBreak/>
        <w:t>行与其他挂牌银行因货币兑换关系而形成的同业现钞外汇市场。相应地，就存在两个平行的汇率，即官方固定汇率与市场汇率。从理论上讲，在市场汇率偏离官方固定汇率一定程度时，发钞行可以利用这两种汇率差进行套汇，从而迫使市场汇率接近联系汇率。这就是所谓的“套利与套汇机制”。香港货币当局正是利用这一机制来实现对于联系汇率的维持。</w:t>
      </w:r>
    </w:p>
    <w:p w:rsidR="004573F4" w:rsidRDefault="004573F4" w:rsidP="004573F4">
      <w:pPr>
        <w:numPr>
          <w:ilvl w:val="0"/>
          <w:numId w:val="21"/>
        </w:numPr>
      </w:pPr>
      <w:r>
        <w:rPr>
          <w:rFonts w:hint="eastAsia"/>
        </w:rPr>
        <w:t>联系汇率制是一种货币局制度，界于固定汇率制与浮动汇率制之间。它与固定汇率制度的相同点在于：①在两种汇率制度下，本国货币都与某种外币保持固定的比价。如香港的发钞行在增发港元纸币时，必须按</w:t>
      </w:r>
      <w:r>
        <w:rPr>
          <w:rFonts w:hint="eastAsia"/>
        </w:rPr>
        <w:t>1</w:t>
      </w:r>
      <w:r>
        <w:rPr>
          <w:rFonts w:hint="eastAsia"/>
        </w:rPr>
        <w:t>美元兑</w:t>
      </w:r>
      <w:r>
        <w:rPr>
          <w:rFonts w:hint="eastAsia"/>
        </w:rPr>
        <w:t>7.8</w:t>
      </w:r>
      <w:r>
        <w:rPr>
          <w:rFonts w:hint="eastAsia"/>
        </w:rPr>
        <w:t>港元的固定汇率水平向外汇基金缴纳等值美元，以换取港元的债务证明书，作为发钞行的法定准备金。②在两种汇率制度下，汇率的波动范围超过了一定的范围时，货币当局可采取必要的手段对其进行干预，以使向固定的比率趋近。如在香港的外汇市场，当市场汇率偏离联系汇率到一定程度时，发钞行可以利用这两种汇率差进行套汇，从而迫使市场汇率接近联系汇率。</w:t>
      </w:r>
    </w:p>
    <w:p w:rsidR="004573F4" w:rsidRDefault="004573F4" w:rsidP="004573F4">
      <w:r>
        <w:rPr>
          <w:rFonts w:hint="eastAsia"/>
        </w:rPr>
        <w:t>（</w:t>
      </w:r>
      <w:r>
        <w:rPr>
          <w:rFonts w:hint="eastAsia"/>
        </w:rPr>
        <w:t>3</w:t>
      </w:r>
      <w:r>
        <w:rPr>
          <w:rFonts w:hint="eastAsia"/>
        </w:rPr>
        <w:t>）联系汇率制是一种特殊的固定汇率制度。它与普通的固定汇率制的区别在于：①它对汇率水平作了严格的法律规定。这一法律规定是公开的，因此政府想改变汇率水平是极为困难的，必将损害货币局制的可信性。②最为重要的是它对储备货币的创造来源也作了严格的法律限制，货币局只有在拥有外国货币作为后备时才可以发行货币，这一规则也称为“后备规则（</w:t>
      </w:r>
      <w:r>
        <w:rPr>
          <w:rFonts w:hint="eastAsia"/>
        </w:rPr>
        <w:t>Backing</w:t>
      </w:r>
      <w:r>
        <w:rPr>
          <w:rFonts w:hint="eastAsia"/>
        </w:rPr>
        <w:t> </w:t>
      </w:r>
      <w:r>
        <w:rPr>
          <w:rFonts w:hint="eastAsia"/>
        </w:rPr>
        <w:t>Rule</w:t>
      </w:r>
      <w:r>
        <w:rPr>
          <w:rFonts w:hint="eastAsia"/>
        </w:rPr>
        <w:t>）”。另外，货币局制还隐含着一个重要特征，即它对货币局为财政赤字提供融资作了严格的限制。 </w:t>
      </w:r>
    </w:p>
    <w:p w:rsidR="004573F4" w:rsidRDefault="004573F4" w:rsidP="004573F4">
      <w:pPr>
        <w:ind w:firstLineChars="200" w:firstLine="420"/>
      </w:pPr>
      <w:r>
        <w:rPr>
          <w:rFonts w:hint="eastAsia"/>
        </w:rPr>
        <w:t>货币局制的优点在于它的管理与操作简便，并且赋予了货币政策高度的可信性。但是，它的高度规则化同时也构成了它的主要缺点，这体现在名义汇率僵硬、货币</w:t>
      </w:r>
      <w:proofErr w:type="gramStart"/>
      <w:r>
        <w:rPr>
          <w:rFonts w:hint="eastAsia"/>
        </w:rPr>
        <w:t>局缺乏</w:t>
      </w:r>
      <w:proofErr w:type="gramEnd"/>
      <w:r>
        <w:rPr>
          <w:rFonts w:hint="eastAsia"/>
        </w:rPr>
        <w:t>最后贷款人功能导致金融系统脆弱以及相当部分中央银行职能的丧失等方面。</w:t>
      </w:r>
    </w:p>
    <w:p w:rsidR="004573F4" w:rsidRDefault="004573F4" w:rsidP="004573F4">
      <w:pPr>
        <w:numPr>
          <w:ilvl w:val="0"/>
          <w:numId w:val="23"/>
        </w:numPr>
      </w:pPr>
      <w:r>
        <w:rPr>
          <w:rFonts w:hint="eastAsia"/>
        </w:rPr>
        <w:t>论述题</w:t>
      </w:r>
    </w:p>
    <w:p w:rsidR="004573F4" w:rsidRDefault="004573F4" w:rsidP="004573F4">
      <w:r>
        <w:rPr>
          <w:rFonts w:hint="eastAsia"/>
        </w:rPr>
        <w:t>1.</w:t>
      </w:r>
      <w:r>
        <w:rPr>
          <w:rFonts w:hint="eastAsia"/>
        </w:rPr>
        <w:t>国际收支调节政策的主要内容。 </w:t>
      </w:r>
    </w:p>
    <w:p w:rsidR="004573F4" w:rsidRDefault="004573F4" w:rsidP="004573F4">
      <w:r>
        <w:rPr>
          <w:rFonts w:hint="eastAsia"/>
        </w:rPr>
        <w:t>答：国际收支失衡会对国家经济的稳定和发展产生不利影响，因而，必须保持国际收支平衡。如果一国国际收支经常出现失衡而收支差额较大，特别是发生长期性逆差，必然要进行调节。国际收支调节可以分为自动调节和政策调节。自动调节通过汇率机制、收入机制和货币机制的调节能从一定程度上缓解一国的国际收支失衡，但自动调节只能在某些条件或经济环境才起作用，而且作用效果和程度也无法保证。因此，各国都采取一定的政策来调节国际收支，使国际收支朝着有利于本国经济稳定的方向发展。</w:t>
      </w:r>
    </w:p>
    <w:p w:rsidR="004573F4" w:rsidRDefault="004573F4" w:rsidP="004573F4">
      <w:r>
        <w:rPr>
          <w:rFonts w:hint="eastAsia"/>
        </w:rPr>
        <w:t>一般说，国际收支失衡的政策调节主要有以下几种： </w:t>
      </w:r>
    </w:p>
    <w:p w:rsidR="004573F4" w:rsidRDefault="004573F4" w:rsidP="004573F4">
      <w:r>
        <w:rPr>
          <w:rFonts w:hint="eastAsia"/>
        </w:rPr>
        <w:t>①外汇缓冲政策。外汇缓冲政策是指运用官方储备的变动或向外借款，来对付国际收支临时性失衡。一般做法是建立外汇平准基金，当国际收支失衡后，货币当局运用该基金在公开市场操作，买进或卖出外汇，消除超额的外汇供求。这种政策以外汇为缓冲体，故称外汇缓冲政策。运用外汇缓冲政策调节季节性、偶然性失衡和不正常资本流动造成的失衡是一种非常好的选择，它可以使外部失衡的影响止于外汇储备阶段，而不影响国内经济与金融。但对长期性失衡，该政策不但无益，反而有害，因此，不宜用于调节长期性失衡。</w:t>
      </w:r>
    </w:p>
    <w:p w:rsidR="004573F4" w:rsidRDefault="004573F4" w:rsidP="004573F4">
      <w:r>
        <w:rPr>
          <w:rFonts w:hint="eastAsia"/>
        </w:rPr>
        <w:t>②汇率调整政策。汇率调整政策就是指发生逆差时实行本币贬值，发生顺差时实行升值。汇率调整旨在改变外汇的供求关系，经由进出口商品的价格变化、资本融进融出的实际收益成本的变化等渠道来实现政策目标。但通过汇率调整实现调节目标，要求本国进出口商品具有充分弹性，而且汇率调整，尤其是竞争性贬值容易引起贸易伙伴的报复，从引发货币战。</w:t>
      </w:r>
    </w:p>
    <w:p w:rsidR="004573F4" w:rsidRDefault="004573F4" w:rsidP="004573F4">
      <w:r>
        <w:rPr>
          <w:rFonts w:hint="eastAsia"/>
        </w:rPr>
        <w:t>③需求管理政策。需求管理政策是运用扩张或紧缩性财政政策和货币政策来控制需求总量，进而消除国际收支的失衡。这是战后各国普遍采用的方法。财政政策一般是从收支两个方面进行的调节，其主要政策工具有税收、政府支出和国债政策。财政当局根据国际收支失衡的不同情况，分别采取松动的或紧缩的财政预算对总需求进行直接调节，并通过国内企业的传递，特别是涉外企业的传导来实现对国际收支的调节。货币政策是货币当局运用各种政策工</w:t>
      </w:r>
      <w:r>
        <w:rPr>
          <w:rFonts w:hint="eastAsia"/>
        </w:rPr>
        <w:lastRenderedPageBreak/>
        <w:t>具调节货币供应量和利率，以实现一定的宏观经济目标的政策和措施总和。货币政策工具主要有法定准备金率、再贴现政策和公开市场业务等。对于由国内需求失衡引起的国际收支失衡，需求管理政策是一种有效地调节方式。</w:t>
      </w:r>
    </w:p>
    <w:p w:rsidR="004573F4" w:rsidRDefault="004573F4" w:rsidP="004573F4">
      <w:r>
        <w:rPr>
          <w:rFonts w:hint="eastAsia"/>
        </w:rPr>
        <w:t>④直接管制政策。直接管制政策是指对国际经济贸易采取直接行政干预的政策。它包括外汇管制和贸易管制。以直接管制作为国际收支调节政策的优点首先在于其效果迅速而显著。其次，在国际收支失衡的原因为局部性因素时，较易针对该部分实行管制，因而不必使整个经济变动。但直接管制政策不利于资源优化配置，而且容易招致他国报复。一般来说，直接管制政策作为国际收支调节手段，应以其他政策难以迅速取得效果的情况为限。</w:t>
      </w:r>
    </w:p>
    <w:p w:rsidR="004573F4" w:rsidRPr="004573F4" w:rsidRDefault="004573F4"/>
    <w:sectPr w:rsidR="004573F4" w:rsidRPr="004573F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70D6525"/>
    <w:multiLevelType w:val="singleLevel"/>
    <w:tmpl w:val="870D6525"/>
    <w:lvl w:ilvl="0">
      <w:start w:val="2"/>
      <w:numFmt w:val="decimal"/>
      <w:lvlText w:val="%1."/>
      <w:lvlJc w:val="left"/>
      <w:pPr>
        <w:tabs>
          <w:tab w:val="left" w:pos="312"/>
        </w:tabs>
      </w:pPr>
    </w:lvl>
  </w:abstractNum>
  <w:abstractNum w:abstractNumId="1">
    <w:nsid w:val="91301457"/>
    <w:multiLevelType w:val="singleLevel"/>
    <w:tmpl w:val="91301457"/>
    <w:lvl w:ilvl="0">
      <w:start w:val="2"/>
      <w:numFmt w:val="decimal"/>
      <w:suff w:val="nothing"/>
      <w:lvlText w:val="（%1）"/>
      <w:lvlJc w:val="left"/>
    </w:lvl>
  </w:abstractNum>
  <w:abstractNum w:abstractNumId="2">
    <w:nsid w:val="96A571A1"/>
    <w:multiLevelType w:val="singleLevel"/>
    <w:tmpl w:val="96A571A1"/>
    <w:lvl w:ilvl="0">
      <w:start w:val="1"/>
      <w:numFmt w:val="decimal"/>
      <w:lvlText w:val="%1."/>
      <w:lvlJc w:val="left"/>
      <w:pPr>
        <w:tabs>
          <w:tab w:val="num" w:pos="312"/>
        </w:tabs>
      </w:pPr>
    </w:lvl>
  </w:abstractNum>
  <w:abstractNum w:abstractNumId="3">
    <w:nsid w:val="98C8567E"/>
    <w:multiLevelType w:val="singleLevel"/>
    <w:tmpl w:val="98C8567E"/>
    <w:lvl w:ilvl="0">
      <w:start w:val="5"/>
      <w:numFmt w:val="decimal"/>
      <w:suff w:val="nothing"/>
      <w:lvlText w:val="（%1）"/>
      <w:lvlJc w:val="left"/>
    </w:lvl>
  </w:abstractNum>
  <w:abstractNum w:abstractNumId="4">
    <w:nsid w:val="B2730F51"/>
    <w:multiLevelType w:val="singleLevel"/>
    <w:tmpl w:val="B2730F51"/>
    <w:lvl w:ilvl="0">
      <w:start w:val="1"/>
      <w:numFmt w:val="decimal"/>
      <w:suff w:val="nothing"/>
      <w:lvlText w:val="（%1）"/>
      <w:lvlJc w:val="left"/>
    </w:lvl>
  </w:abstractNum>
  <w:abstractNum w:abstractNumId="5">
    <w:nsid w:val="BDA307E8"/>
    <w:multiLevelType w:val="singleLevel"/>
    <w:tmpl w:val="BDA307E8"/>
    <w:lvl w:ilvl="0">
      <w:start w:val="1"/>
      <w:numFmt w:val="decimal"/>
      <w:lvlText w:val="%1."/>
      <w:lvlJc w:val="left"/>
      <w:pPr>
        <w:tabs>
          <w:tab w:val="left" w:pos="312"/>
        </w:tabs>
      </w:pPr>
    </w:lvl>
  </w:abstractNum>
  <w:abstractNum w:abstractNumId="6">
    <w:nsid w:val="DDEB95D5"/>
    <w:multiLevelType w:val="singleLevel"/>
    <w:tmpl w:val="DDEB95D5"/>
    <w:lvl w:ilvl="0">
      <w:start w:val="1"/>
      <w:numFmt w:val="decimal"/>
      <w:lvlText w:val="%1."/>
      <w:lvlJc w:val="left"/>
      <w:pPr>
        <w:tabs>
          <w:tab w:val="num" w:pos="312"/>
        </w:tabs>
      </w:pPr>
    </w:lvl>
  </w:abstractNum>
  <w:abstractNum w:abstractNumId="7">
    <w:nsid w:val="E86FD01B"/>
    <w:multiLevelType w:val="singleLevel"/>
    <w:tmpl w:val="E86FD01B"/>
    <w:lvl w:ilvl="0">
      <w:start w:val="1"/>
      <w:numFmt w:val="decimal"/>
      <w:suff w:val="nothing"/>
      <w:lvlText w:val="%1．"/>
      <w:lvlJc w:val="left"/>
    </w:lvl>
  </w:abstractNum>
  <w:abstractNum w:abstractNumId="8">
    <w:nsid w:val="EFE6F4D1"/>
    <w:multiLevelType w:val="singleLevel"/>
    <w:tmpl w:val="EFE6F4D1"/>
    <w:lvl w:ilvl="0">
      <w:start w:val="1"/>
      <w:numFmt w:val="decimal"/>
      <w:lvlText w:val="%1."/>
      <w:lvlJc w:val="left"/>
      <w:pPr>
        <w:tabs>
          <w:tab w:val="num" w:pos="312"/>
        </w:tabs>
      </w:pPr>
    </w:lvl>
  </w:abstractNum>
  <w:abstractNum w:abstractNumId="9">
    <w:nsid w:val="F594E25E"/>
    <w:multiLevelType w:val="singleLevel"/>
    <w:tmpl w:val="F594E25E"/>
    <w:lvl w:ilvl="0">
      <w:start w:val="5"/>
      <w:numFmt w:val="decimal"/>
      <w:lvlText w:val="%1."/>
      <w:lvlJc w:val="left"/>
      <w:pPr>
        <w:tabs>
          <w:tab w:val="left" w:pos="312"/>
        </w:tabs>
      </w:pPr>
    </w:lvl>
  </w:abstractNum>
  <w:abstractNum w:abstractNumId="10">
    <w:nsid w:val="03240C6F"/>
    <w:multiLevelType w:val="singleLevel"/>
    <w:tmpl w:val="03240C6F"/>
    <w:lvl w:ilvl="0">
      <w:start w:val="3"/>
      <w:numFmt w:val="decimal"/>
      <w:suff w:val="nothing"/>
      <w:lvlText w:val="%1．"/>
      <w:lvlJc w:val="left"/>
    </w:lvl>
  </w:abstractNum>
  <w:abstractNum w:abstractNumId="11">
    <w:nsid w:val="06B325C3"/>
    <w:multiLevelType w:val="singleLevel"/>
    <w:tmpl w:val="06B325C3"/>
    <w:lvl w:ilvl="0">
      <w:start w:val="2"/>
      <w:numFmt w:val="chineseCounting"/>
      <w:suff w:val="nothing"/>
      <w:lvlText w:val="%1、"/>
      <w:lvlJc w:val="left"/>
      <w:rPr>
        <w:rFonts w:hint="eastAsia"/>
      </w:rPr>
    </w:lvl>
  </w:abstractNum>
  <w:abstractNum w:abstractNumId="12">
    <w:nsid w:val="0BB97850"/>
    <w:multiLevelType w:val="multilevel"/>
    <w:tmpl w:val="0BB97850"/>
    <w:lvl w:ilvl="0">
      <w:start w:val="1"/>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1100C320"/>
    <w:multiLevelType w:val="singleLevel"/>
    <w:tmpl w:val="1100C320"/>
    <w:lvl w:ilvl="0">
      <w:start w:val="1"/>
      <w:numFmt w:val="decimal"/>
      <w:suff w:val="nothing"/>
      <w:lvlText w:val="（%1）"/>
      <w:lvlJc w:val="left"/>
    </w:lvl>
  </w:abstractNum>
  <w:abstractNum w:abstractNumId="14">
    <w:nsid w:val="2DC0105D"/>
    <w:multiLevelType w:val="singleLevel"/>
    <w:tmpl w:val="2DC0105D"/>
    <w:lvl w:ilvl="0">
      <w:start w:val="4"/>
      <w:numFmt w:val="chineseCounting"/>
      <w:suff w:val="nothing"/>
      <w:lvlText w:val="%1、"/>
      <w:lvlJc w:val="left"/>
      <w:rPr>
        <w:rFonts w:hint="eastAsia"/>
      </w:rPr>
    </w:lvl>
  </w:abstractNum>
  <w:abstractNum w:abstractNumId="15">
    <w:nsid w:val="36FDDDD6"/>
    <w:multiLevelType w:val="singleLevel"/>
    <w:tmpl w:val="36FDDDD6"/>
    <w:lvl w:ilvl="0">
      <w:start w:val="1"/>
      <w:numFmt w:val="chineseCounting"/>
      <w:suff w:val="nothing"/>
      <w:lvlText w:val="%1、"/>
      <w:lvlJc w:val="left"/>
      <w:rPr>
        <w:rFonts w:hint="eastAsia"/>
      </w:rPr>
    </w:lvl>
  </w:abstractNum>
  <w:abstractNum w:abstractNumId="16">
    <w:nsid w:val="411954C7"/>
    <w:multiLevelType w:val="singleLevel"/>
    <w:tmpl w:val="411954C7"/>
    <w:lvl w:ilvl="0">
      <w:start w:val="1"/>
      <w:numFmt w:val="decimal"/>
      <w:lvlText w:val="%1."/>
      <w:lvlJc w:val="left"/>
      <w:pPr>
        <w:tabs>
          <w:tab w:val="num" w:pos="312"/>
        </w:tabs>
      </w:pPr>
    </w:lvl>
  </w:abstractNum>
  <w:abstractNum w:abstractNumId="17">
    <w:nsid w:val="4D818EF5"/>
    <w:multiLevelType w:val="singleLevel"/>
    <w:tmpl w:val="4D818EF5"/>
    <w:lvl w:ilvl="0">
      <w:start w:val="1"/>
      <w:numFmt w:val="decimal"/>
      <w:suff w:val="nothing"/>
      <w:lvlText w:val="（%1）"/>
      <w:lvlJc w:val="left"/>
    </w:lvl>
  </w:abstractNum>
  <w:abstractNum w:abstractNumId="18">
    <w:nsid w:val="4FE42C7E"/>
    <w:multiLevelType w:val="singleLevel"/>
    <w:tmpl w:val="4FE42C7E"/>
    <w:lvl w:ilvl="0">
      <w:start w:val="3"/>
      <w:numFmt w:val="chineseCounting"/>
      <w:suff w:val="nothing"/>
      <w:lvlText w:val="%1、"/>
      <w:lvlJc w:val="left"/>
      <w:rPr>
        <w:rFonts w:hint="eastAsia"/>
      </w:rPr>
    </w:lvl>
  </w:abstractNum>
  <w:abstractNum w:abstractNumId="19">
    <w:nsid w:val="5161C82D"/>
    <w:multiLevelType w:val="singleLevel"/>
    <w:tmpl w:val="5161C82D"/>
    <w:lvl w:ilvl="0">
      <w:start w:val="1"/>
      <w:numFmt w:val="decimal"/>
      <w:lvlText w:val="%1."/>
      <w:lvlJc w:val="left"/>
      <w:pPr>
        <w:tabs>
          <w:tab w:val="num" w:pos="312"/>
        </w:tabs>
      </w:pPr>
    </w:lvl>
  </w:abstractNum>
  <w:abstractNum w:abstractNumId="20">
    <w:nsid w:val="58324DD7"/>
    <w:multiLevelType w:val="hybridMultilevel"/>
    <w:tmpl w:val="248687AE"/>
    <w:lvl w:ilvl="0" w:tplc="BD7A6280">
      <w:start w:val="1"/>
      <w:numFmt w:val="japaneseCounting"/>
      <w:lvlText w:val="%1、"/>
      <w:lvlJc w:val="left"/>
      <w:pPr>
        <w:ind w:left="480" w:hanging="480"/>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5104A4A"/>
    <w:multiLevelType w:val="singleLevel"/>
    <w:tmpl w:val="65104A4A"/>
    <w:lvl w:ilvl="0">
      <w:start w:val="1"/>
      <w:numFmt w:val="decimal"/>
      <w:suff w:val="nothing"/>
      <w:lvlText w:val="%1．"/>
      <w:lvlJc w:val="left"/>
    </w:lvl>
  </w:abstractNum>
  <w:abstractNum w:abstractNumId="22">
    <w:nsid w:val="7B905B46"/>
    <w:multiLevelType w:val="singleLevel"/>
    <w:tmpl w:val="7B905B46"/>
    <w:lvl w:ilvl="0">
      <w:start w:val="2"/>
      <w:numFmt w:val="decimal"/>
      <w:lvlText w:val="%1."/>
      <w:lvlJc w:val="left"/>
      <w:pPr>
        <w:tabs>
          <w:tab w:val="left" w:pos="312"/>
        </w:tabs>
      </w:pPr>
    </w:lvl>
  </w:abstractNum>
  <w:abstractNum w:abstractNumId="23">
    <w:nsid w:val="7BAB9F2A"/>
    <w:multiLevelType w:val="singleLevel"/>
    <w:tmpl w:val="7BAB9F2A"/>
    <w:lvl w:ilvl="0">
      <w:start w:val="1"/>
      <w:numFmt w:val="decimal"/>
      <w:suff w:val="nothing"/>
      <w:lvlText w:val="%1-"/>
      <w:lvlJc w:val="left"/>
    </w:lvl>
  </w:abstractNum>
  <w:num w:numId="1">
    <w:abstractNumId w:val="12"/>
  </w:num>
  <w:num w:numId="2">
    <w:abstractNumId w:val="2"/>
  </w:num>
  <w:num w:numId="3">
    <w:abstractNumId w:val="8"/>
  </w:num>
  <w:num w:numId="4">
    <w:abstractNumId w:val="7"/>
  </w:num>
  <w:num w:numId="5">
    <w:abstractNumId w:val="11"/>
  </w:num>
  <w:num w:numId="6">
    <w:abstractNumId w:val="23"/>
  </w:num>
  <w:num w:numId="7">
    <w:abstractNumId w:val="5"/>
  </w:num>
  <w:num w:numId="8">
    <w:abstractNumId w:val="21"/>
  </w:num>
  <w:num w:numId="9">
    <w:abstractNumId w:val="6"/>
  </w:num>
  <w:num w:numId="10">
    <w:abstractNumId w:val="19"/>
  </w:num>
  <w:num w:numId="11">
    <w:abstractNumId w:val="16"/>
  </w:num>
  <w:num w:numId="12">
    <w:abstractNumId w:val="20"/>
  </w:num>
  <w:num w:numId="13">
    <w:abstractNumId w:val="15"/>
  </w:num>
  <w:num w:numId="14">
    <w:abstractNumId w:val="10"/>
  </w:num>
  <w:num w:numId="15">
    <w:abstractNumId w:val="13"/>
  </w:num>
  <w:num w:numId="16">
    <w:abstractNumId w:val="17"/>
  </w:num>
  <w:num w:numId="17">
    <w:abstractNumId w:val="3"/>
  </w:num>
  <w:num w:numId="18">
    <w:abstractNumId w:val="14"/>
  </w:num>
  <w:num w:numId="19">
    <w:abstractNumId w:val="9"/>
  </w:num>
  <w:num w:numId="20">
    <w:abstractNumId w:val="0"/>
  </w:num>
  <w:num w:numId="21">
    <w:abstractNumId w:val="1"/>
  </w:num>
  <w:num w:numId="22">
    <w:abstractNumId w:val="4"/>
  </w:num>
  <w:num w:numId="23">
    <w:abstractNumId w:val="18"/>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A53"/>
    <w:rsid w:val="004573F4"/>
    <w:rsid w:val="005334CA"/>
    <w:rsid w:val="00555A53"/>
    <w:rsid w:val="00571A93"/>
    <w:rsid w:val="00783780"/>
    <w:rsid w:val="00AF511E"/>
    <w:rsid w:val="00AF52F5"/>
    <w:rsid w:val="00B8384D"/>
    <w:rsid w:val="00EB5E20"/>
    <w:rsid w:val="00FE3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12C21C-5D61-4B5B-A5B5-309DBC1A0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573F4"/>
    <w:pPr>
      <w:widowControl/>
      <w:spacing w:before="100" w:beforeAutospacing="1" w:after="100" w:afterAutospacing="1"/>
      <w:jc w:val="left"/>
    </w:pPr>
    <w:rPr>
      <w:rFonts w:ascii="宋体" w:eastAsia="宋体" w:hAnsi="宋体" w:cs="Times New Roman"/>
      <w:kern w:val="0"/>
      <w:sz w:val="24"/>
      <w:szCs w:val="24"/>
    </w:rPr>
  </w:style>
  <w:style w:type="paragraph" w:styleId="a4">
    <w:name w:val="Balloon Text"/>
    <w:basedOn w:val="a"/>
    <w:link w:val="Char"/>
    <w:uiPriority w:val="99"/>
    <w:semiHidden/>
    <w:unhideWhenUsed/>
    <w:rsid w:val="004573F4"/>
    <w:rPr>
      <w:sz w:val="18"/>
      <w:szCs w:val="18"/>
    </w:rPr>
  </w:style>
  <w:style w:type="character" w:customStyle="1" w:styleId="Char">
    <w:name w:val="批注框文本 Char"/>
    <w:basedOn w:val="a0"/>
    <w:link w:val="a4"/>
    <w:uiPriority w:val="99"/>
    <w:semiHidden/>
    <w:rsid w:val="004573F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1219</Words>
  <Characters>6949</Characters>
  <Application>Microsoft Office Word</Application>
  <DocSecurity>0</DocSecurity>
  <Lines>57</Lines>
  <Paragraphs>16</Paragraphs>
  <ScaleCrop>false</ScaleCrop>
  <Company/>
  <LinksUpToDate>false</LinksUpToDate>
  <CharactersWithSpaces>8152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Eway</dc:creator>
  <cp:keywords/>
  <dc:description/>
  <cp:lastModifiedBy>PC</cp:lastModifiedBy>
  <cp:revision>8</cp:revision>
  <dcterms:created xsi:type="dcterms:W3CDTF">2018-11-09T13:24:00Z</dcterms:created>
  <dcterms:modified xsi:type="dcterms:W3CDTF">2018-11-28T09:06:00Z</dcterms:modified>
</cp:coreProperties>
</file>